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4D" w:rsidRDefault="004C2FE4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中弘股份退市整理期交易公开信息</w:t>
      </w:r>
    </w:p>
    <w:p w:rsidR="0022144D" w:rsidRDefault="0022144D">
      <w:pPr>
        <w:rPr>
          <w:rFonts w:ascii="仿宋_GB2312" w:eastAsia="仿宋_GB2312" w:hAnsi="宋体"/>
          <w:sz w:val="24"/>
          <w:szCs w:val="24"/>
        </w:rPr>
      </w:pPr>
    </w:p>
    <w:p w:rsidR="0022144D" w:rsidRDefault="004C2FE4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尊敬的投资者：</w:t>
      </w:r>
    </w:p>
    <w:p w:rsidR="0022144D" w:rsidRDefault="004C2FE4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中弘控股股份有限公司(证券简称：中弘股份，证券代码：000979)因自2018年9月13日至2018年10月18日连续二十个交易日股票的每日收盘价均低于股票面值（1 元），深交所已于2018年11月8日对其作出公司股票终止上市的决定。</w:t>
      </w:r>
    </w:p>
    <w:p w:rsidR="0022144D" w:rsidRDefault="004C2FE4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根据《深圳证券交易所股票上市规则》，中弘股份自2018年11月16日起进入退市整理期，交易期限为30个交易日，股票的证券简称将变更为“中弘退”，公司证券代码维持不变，股票价格的日涨跌幅限制为10%。退市整理期届满的次一交易日，深圳证券交易所对公司股票予以摘牌。公司股票终止上市后，将转入全国中小企业股份转让系统进行股份转让。</w:t>
      </w:r>
    </w:p>
    <w:p w:rsidR="0022144D" w:rsidRDefault="004C2FE4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截止2018年</w:t>
      </w:r>
      <w:r w:rsidR="00167E67">
        <w:rPr>
          <w:rFonts w:ascii="仿宋_GB2312" w:eastAsia="仿宋_GB2312" w:hAnsi="宋体" w:hint="eastAsia"/>
          <w:sz w:val="24"/>
          <w:szCs w:val="24"/>
        </w:rPr>
        <w:t>12</w:t>
      </w:r>
      <w:r>
        <w:rPr>
          <w:rFonts w:ascii="仿宋_GB2312" w:eastAsia="仿宋_GB2312" w:hAnsi="宋体" w:hint="eastAsia"/>
          <w:sz w:val="24"/>
          <w:szCs w:val="24"/>
        </w:rPr>
        <w:t>月</w:t>
      </w:r>
      <w:r w:rsidR="00167E67">
        <w:rPr>
          <w:rFonts w:ascii="仿宋_GB2312" w:eastAsia="仿宋_GB2312" w:hAnsi="宋体" w:hint="eastAsia"/>
          <w:sz w:val="24"/>
          <w:szCs w:val="24"/>
        </w:rPr>
        <w:t>3</w:t>
      </w:r>
      <w:r>
        <w:rPr>
          <w:rFonts w:ascii="仿宋_GB2312" w:eastAsia="仿宋_GB2312" w:hAnsi="宋体" w:hint="eastAsia"/>
          <w:sz w:val="24"/>
          <w:szCs w:val="24"/>
        </w:rPr>
        <w:t>日（含</w:t>
      </w:r>
      <w:r w:rsidR="00167E67">
        <w:rPr>
          <w:rFonts w:ascii="仿宋_GB2312" w:eastAsia="仿宋_GB2312" w:hAnsi="宋体" w:hint="eastAsia"/>
          <w:sz w:val="24"/>
          <w:szCs w:val="24"/>
        </w:rPr>
        <w:t>3</w:t>
      </w:r>
      <w:r>
        <w:rPr>
          <w:rFonts w:ascii="仿宋_GB2312" w:eastAsia="仿宋_GB2312" w:hAnsi="宋体" w:hint="eastAsia"/>
          <w:sz w:val="24"/>
          <w:szCs w:val="24"/>
        </w:rPr>
        <w:t>日），该股票已交易</w:t>
      </w:r>
      <w:r w:rsidR="00167E67">
        <w:rPr>
          <w:rFonts w:ascii="仿宋_GB2312" w:eastAsia="仿宋_GB2312" w:hAnsi="宋体" w:hint="eastAsia"/>
          <w:sz w:val="24"/>
          <w:szCs w:val="24"/>
        </w:rPr>
        <w:t>12</w:t>
      </w:r>
      <w:r>
        <w:rPr>
          <w:rFonts w:ascii="仿宋_GB2312" w:eastAsia="仿宋_GB2312" w:hAnsi="宋体" w:hint="eastAsia"/>
          <w:sz w:val="24"/>
          <w:szCs w:val="24"/>
        </w:rPr>
        <w:t>个交易日，剩余</w:t>
      </w:r>
      <w:r w:rsidR="00167E67">
        <w:rPr>
          <w:rFonts w:ascii="仿宋_GB2312" w:eastAsia="仿宋_GB2312" w:hAnsi="宋体" w:hint="eastAsia"/>
          <w:sz w:val="24"/>
          <w:szCs w:val="24"/>
        </w:rPr>
        <w:t>18</w:t>
      </w:r>
      <w:r>
        <w:rPr>
          <w:rFonts w:ascii="仿宋_GB2312" w:eastAsia="仿宋_GB2312" w:hAnsi="宋体" w:hint="eastAsia"/>
          <w:sz w:val="24"/>
          <w:szCs w:val="24"/>
        </w:rPr>
        <w:t>个交易日。</w:t>
      </w:r>
      <w:r w:rsidR="00167E67">
        <w:rPr>
          <w:rFonts w:ascii="仿宋_GB2312" w:eastAsia="仿宋_GB2312" w:hAnsi="宋体" w:hint="eastAsia"/>
          <w:sz w:val="24"/>
          <w:szCs w:val="24"/>
        </w:rPr>
        <w:t>12</w:t>
      </w:r>
      <w:r>
        <w:rPr>
          <w:rFonts w:ascii="仿宋_GB2312" w:eastAsia="仿宋_GB2312" w:hAnsi="宋体" w:hint="eastAsia"/>
          <w:sz w:val="24"/>
          <w:szCs w:val="24"/>
        </w:rPr>
        <w:t>月</w:t>
      </w:r>
      <w:r w:rsidR="00167E67">
        <w:rPr>
          <w:rFonts w:ascii="仿宋_GB2312" w:eastAsia="仿宋_GB2312" w:hAnsi="宋体" w:hint="eastAsia"/>
          <w:sz w:val="24"/>
          <w:szCs w:val="24"/>
        </w:rPr>
        <w:t>3</w:t>
      </w:r>
      <w:r>
        <w:rPr>
          <w:rFonts w:ascii="仿宋_GB2312" w:eastAsia="仿宋_GB2312" w:hAnsi="宋体" w:hint="eastAsia"/>
          <w:sz w:val="24"/>
          <w:szCs w:val="24"/>
        </w:rPr>
        <w:t>日买入、卖出金额最大的五家证券营业部情况信息如下：</w:t>
      </w:r>
    </w:p>
    <w:p w:rsidR="0022144D" w:rsidRDefault="0022144D"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0"/>
        <w:gridCol w:w="2130"/>
        <w:gridCol w:w="2369"/>
        <w:gridCol w:w="2268"/>
      </w:tblGrid>
      <w:tr w:rsidR="0022144D">
        <w:tc>
          <w:tcPr>
            <w:tcW w:w="2130" w:type="dxa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成交量（股）</w:t>
            </w:r>
          </w:p>
        </w:tc>
        <w:tc>
          <w:tcPr>
            <w:tcW w:w="2268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成交金额（元）</w:t>
            </w:r>
          </w:p>
        </w:tc>
      </w:tr>
      <w:tr w:rsidR="0022144D">
        <w:tc>
          <w:tcPr>
            <w:tcW w:w="2130" w:type="dxa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979</w:t>
            </w:r>
          </w:p>
        </w:tc>
        <w:tc>
          <w:tcPr>
            <w:tcW w:w="2130" w:type="dxa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中弘退</w:t>
            </w:r>
          </w:p>
        </w:tc>
        <w:tc>
          <w:tcPr>
            <w:tcW w:w="2369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/>
                <w:sz w:val="24"/>
                <w:szCs w:val="24"/>
              </w:rPr>
              <w:t>212988771</w:t>
            </w:r>
          </w:p>
        </w:tc>
        <w:tc>
          <w:tcPr>
            <w:tcW w:w="2268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/>
                <w:sz w:val="24"/>
                <w:szCs w:val="24"/>
              </w:rPr>
              <w:t>61226245.39</w:t>
            </w:r>
          </w:p>
        </w:tc>
      </w:tr>
    </w:tbl>
    <w:p w:rsidR="0022144D" w:rsidRDefault="0022144D">
      <w:pPr>
        <w:rPr>
          <w:rFonts w:ascii="仿宋_GB2312"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7"/>
        <w:gridCol w:w="6501"/>
        <w:gridCol w:w="1783"/>
      </w:tblGrid>
      <w:tr w:rsidR="0022144D">
        <w:trPr>
          <w:trHeight w:val="512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6501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买入营业部名称</w:t>
            </w:r>
          </w:p>
        </w:tc>
        <w:tc>
          <w:tcPr>
            <w:tcW w:w="1783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累计买入金额(元)</w:t>
            </w:r>
          </w:p>
        </w:tc>
      </w:tr>
      <w:tr w:rsidR="0022144D">
        <w:trPr>
          <w:trHeight w:val="537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501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 w:hint="eastAsia"/>
                <w:sz w:val="24"/>
                <w:szCs w:val="24"/>
              </w:rPr>
              <w:t>华泰证券股份有限公司杭州求是路证券营业部</w:t>
            </w:r>
          </w:p>
        </w:tc>
        <w:tc>
          <w:tcPr>
            <w:tcW w:w="1783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/>
                <w:sz w:val="24"/>
                <w:szCs w:val="24"/>
              </w:rPr>
              <w:t>4428065.60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       </w:t>
            </w:r>
          </w:p>
        </w:tc>
      </w:tr>
      <w:tr w:rsidR="0022144D">
        <w:trPr>
          <w:trHeight w:val="512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501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 w:hint="eastAsia"/>
                <w:sz w:val="24"/>
                <w:szCs w:val="24"/>
              </w:rPr>
              <w:t>申万宏源证券有限公司温州车站大道证券营业部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/>
                <w:sz w:val="24"/>
                <w:szCs w:val="24"/>
              </w:rPr>
              <w:t>2741648.00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</w:p>
        </w:tc>
      </w:tr>
      <w:tr w:rsidR="0022144D">
        <w:trPr>
          <w:trHeight w:val="512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501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 w:hint="eastAsia"/>
                <w:sz w:val="24"/>
                <w:szCs w:val="24"/>
              </w:rPr>
              <w:t>江海证券有限公司大庆龙凤大街证券营业部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783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/>
                <w:sz w:val="24"/>
                <w:szCs w:val="24"/>
              </w:rPr>
              <w:t xml:space="preserve">2250000.00 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          </w:t>
            </w:r>
          </w:p>
        </w:tc>
      </w:tr>
      <w:tr w:rsidR="0022144D">
        <w:trPr>
          <w:trHeight w:val="512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501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 w:hint="eastAsia"/>
                <w:sz w:val="24"/>
                <w:szCs w:val="24"/>
              </w:rPr>
              <w:t>德邦证券股份有限公司抚顺东四路证券营业部</w:t>
            </w:r>
          </w:p>
        </w:tc>
        <w:tc>
          <w:tcPr>
            <w:tcW w:w="1783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/>
                <w:sz w:val="24"/>
                <w:szCs w:val="24"/>
              </w:rPr>
              <w:t>1960000.00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</w:p>
        </w:tc>
      </w:tr>
      <w:tr w:rsidR="0022144D">
        <w:trPr>
          <w:trHeight w:val="473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501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 w:hint="eastAsia"/>
                <w:sz w:val="24"/>
                <w:szCs w:val="24"/>
              </w:rPr>
              <w:t>海通证券股份有限公司常熟海虞北路证券营业部</w:t>
            </w:r>
          </w:p>
        </w:tc>
        <w:tc>
          <w:tcPr>
            <w:tcW w:w="1783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/>
                <w:sz w:val="24"/>
                <w:szCs w:val="24"/>
              </w:rPr>
              <w:t>1206748.00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          </w:t>
            </w:r>
          </w:p>
        </w:tc>
      </w:tr>
    </w:tbl>
    <w:p w:rsidR="0022144D" w:rsidRDefault="0022144D">
      <w:pPr>
        <w:rPr>
          <w:rFonts w:ascii="仿宋_GB2312" w:eastAsia="仿宋_GB2312"/>
          <w:sz w:val="24"/>
          <w:szCs w:val="24"/>
        </w:rPr>
      </w:pPr>
    </w:p>
    <w:p w:rsidR="0022144D" w:rsidRDefault="0022144D">
      <w:pPr>
        <w:rPr>
          <w:rFonts w:ascii="仿宋_GB2312"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5"/>
        <w:gridCol w:w="6513"/>
        <w:gridCol w:w="1842"/>
      </w:tblGrid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6513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卖出营业部名称</w:t>
            </w:r>
          </w:p>
        </w:tc>
        <w:tc>
          <w:tcPr>
            <w:tcW w:w="1842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累计卖出金额(元)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513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 w:hint="eastAsia"/>
                <w:sz w:val="24"/>
                <w:szCs w:val="24"/>
              </w:rPr>
              <w:t>中国中投证券有限责任公司深圳深南大道证券营业部</w:t>
            </w:r>
          </w:p>
        </w:tc>
        <w:tc>
          <w:tcPr>
            <w:tcW w:w="1842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/>
                <w:sz w:val="24"/>
                <w:szCs w:val="24"/>
              </w:rPr>
              <w:t>7250000.00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513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 w:hint="eastAsia"/>
                <w:sz w:val="24"/>
                <w:szCs w:val="24"/>
              </w:rPr>
              <w:t>广发证券股份有限公司潮州潮枫路证券营业部</w:t>
            </w:r>
          </w:p>
        </w:tc>
        <w:tc>
          <w:tcPr>
            <w:tcW w:w="1842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/>
                <w:sz w:val="24"/>
                <w:szCs w:val="24"/>
              </w:rPr>
              <w:t>1735893.00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513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 w:hint="eastAsia"/>
                <w:sz w:val="24"/>
                <w:szCs w:val="24"/>
              </w:rPr>
              <w:t>国融证券股份有限公司杭州江晖路证券营业部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/>
                <w:sz w:val="24"/>
                <w:szCs w:val="24"/>
              </w:rPr>
              <w:t>1305000.00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513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 w:hint="eastAsia"/>
                <w:sz w:val="24"/>
                <w:szCs w:val="24"/>
              </w:rPr>
              <w:t>华福证券有限责任公司泉州丰泽街证券营业部</w:t>
            </w:r>
          </w:p>
        </w:tc>
        <w:tc>
          <w:tcPr>
            <w:tcW w:w="1842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/>
                <w:sz w:val="24"/>
                <w:szCs w:val="24"/>
              </w:rPr>
              <w:t>1160000.00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513" w:type="dxa"/>
            <w:vAlign w:val="center"/>
          </w:tcPr>
          <w:p w:rsidR="0022144D" w:rsidRDefault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 w:hint="eastAsia"/>
                <w:sz w:val="24"/>
                <w:szCs w:val="24"/>
              </w:rPr>
              <w:t>国泰君安证券股份有限公司顺德大良证券营业部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2144D" w:rsidRDefault="00167E67" w:rsidP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7E67">
              <w:rPr>
                <w:rFonts w:ascii="仿宋_GB2312" w:eastAsia="仿宋_GB2312"/>
                <w:sz w:val="24"/>
                <w:szCs w:val="24"/>
              </w:rPr>
              <w:t>1041890.00</w:t>
            </w:r>
          </w:p>
        </w:tc>
      </w:tr>
    </w:tbl>
    <w:p w:rsidR="0022144D" w:rsidRDefault="0022144D"/>
    <w:p w:rsidR="004C2FE4" w:rsidRDefault="004C2FE4"/>
    <w:sectPr w:rsidR="004C2FE4" w:rsidSect="002214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6F3"/>
    <w:rsid w:val="00167E67"/>
    <w:rsid w:val="0022144D"/>
    <w:rsid w:val="004C2FE4"/>
    <w:rsid w:val="008922A5"/>
    <w:rsid w:val="008A0403"/>
    <w:rsid w:val="00B2420E"/>
    <w:rsid w:val="00B966F3"/>
    <w:rsid w:val="00C8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44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22144D"/>
    <w:rPr>
      <w:rFonts w:ascii="Consolas" w:eastAsia="Consolas" w:hAnsi="Consolas" w:cs="Consolas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a3">
    <w:name w:val="FollowedHyperlink"/>
    <w:basedOn w:val="a0"/>
    <w:rsid w:val="0022144D"/>
    <w:rPr>
      <w:color w:val="337AB7"/>
      <w:u w:val="none"/>
    </w:rPr>
  </w:style>
  <w:style w:type="character" w:styleId="HTML0">
    <w:name w:val="HTML Code"/>
    <w:basedOn w:val="a0"/>
    <w:rsid w:val="0022144D"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a4">
    <w:name w:val="Hyperlink"/>
    <w:basedOn w:val="a0"/>
    <w:rsid w:val="0022144D"/>
    <w:rPr>
      <w:color w:val="337AB7"/>
      <w:u w:val="none"/>
    </w:rPr>
  </w:style>
  <w:style w:type="character" w:styleId="HTML1">
    <w:name w:val="HTML Definition"/>
    <w:basedOn w:val="a0"/>
    <w:rsid w:val="0022144D"/>
    <w:rPr>
      <w:i/>
    </w:rPr>
  </w:style>
  <w:style w:type="character" w:styleId="HTML2">
    <w:name w:val="HTML Sample"/>
    <w:basedOn w:val="a0"/>
    <w:rsid w:val="0022144D"/>
    <w:rPr>
      <w:rFonts w:ascii="Consolas" w:eastAsia="Consolas" w:hAnsi="Consolas" w:cs="Consolas" w:hint="default"/>
      <w:sz w:val="21"/>
      <w:szCs w:val="21"/>
    </w:rPr>
  </w:style>
  <w:style w:type="character" w:styleId="a5">
    <w:name w:val="Strong"/>
    <w:basedOn w:val="a0"/>
    <w:qFormat/>
    <w:rsid w:val="0022144D"/>
    <w:rPr>
      <w:b/>
      <w:bdr w:val="none" w:sz="0" w:space="0" w:color="auto"/>
    </w:rPr>
  </w:style>
  <w:style w:type="character" w:customStyle="1" w:styleId="table-name3">
    <w:name w:val="table-name3"/>
    <w:basedOn w:val="a0"/>
    <w:rsid w:val="0022144D"/>
    <w:rPr>
      <w:color w:val="333333"/>
      <w:sz w:val="36"/>
      <w:szCs w:val="36"/>
    </w:rPr>
  </w:style>
  <w:style w:type="character" w:customStyle="1" w:styleId="footer-email">
    <w:name w:val="footer-email"/>
    <w:basedOn w:val="a0"/>
    <w:rsid w:val="0022144D"/>
    <w:rPr>
      <w:sz w:val="27"/>
      <w:szCs w:val="27"/>
    </w:rPr>
  </w:style>
  <w:style w:type="character" w:customStyle="1" w:styleId="table-name5">
    <w:name w:val="table-name5"/>
    <w:basedOn w:val="a0"/>
    <w:rsid w:val="0022144D"/>
    <w:rPr>
      <w:color w:val="162E64"/>
      <w:sz w:val="24"/>
      <w:szCs w:val="24"/>
    </w:rPr>
  </w:style>
  <w:style w:type="character" w:customStyle="1" w:styleId="remain">
    <w:name w:val="remain"/>
    <w:basedOn w:val="a0"/>
    <w:rsid w:val="0022144D"/>
    <w:rPr>
      <w:b/>
      <w:i/>
      <w:color w:val="666666"/>
      <w:sz w:val="22"/>
      <w:szCs w:val="22"/>
    </w:rPr>
  </w:style>
  <w:style w:type="character" w:customStyle="1" w:styleId="table-subname1">
    <w:name w:val="table-subname1"/>
    <w:basedOn w:val="a0"/>
    <w:rsid w:val="0022144D"/>
    <w:rPr>
      <w:color w:val="333333"/>
      <w:sz w:val="42"/>
      <w:szCs w:val="42"/>
    </w:rPr>
  </w:style>
  <w:style w:type="character" w:customStyle="1" w:styleId="glyphicon26">
    <w:name w:val="glyphicon26"/>
    <w:basedOn w:val="a0"/>
    <w:rsid w:val="0022144D"/>
  </w:style>
  <w:style w:type="character" w:customStyle="1" w:styleId="glyphicon">
    <w:name w:val="glyphicon"/>
    <w:basedOn w:val="a0"/>
    <w:rsid w:val="0022144D"/>
  </w:style>
  <w:style w:type="character" w:customStyle="1" w:styleId="table-subname">
    <w:name w:val="table-subname"/>
    <w:basedOn w:val="a0"/>
    <w:rsid w:val="0022144D"/>
    <w:rPr>
      <w:color w:val="999999"/>
      <w:sz w:val="18"/>
      <w:szCs w:val="18"/>
    </w:rPr>
  </w:style>
  <w:style w:type="character" w:customStyle="1" w:styleId="table-name">
    <w:name w:val="table-name"/>
    <w:basedOn w:val="a0"/>
    <w:rsid w:val="0022144D"/>
    <w:rPr>
      <w:color w:val="162E64"/>
      <w:sz w:val="24"/>
      <w:szCs w:val="24"/>
    </w:rPr>
  </w:style>
  <w:style w:type="character" w:customStyle="1" w:styleId="table-name4">
    <w:name w:val="table-name4"/>
    <w:basedOn w:val="a0"/>
    <w:rsid w:val="0022144D"/>
    <w:rPr>
      <w:color w:val="333333"/>
      <w:sz w:val="36"/>
      <w:szCs w:val="36"/>
    </w:rPr>
  </w:style>
  <w:style w:type="character" w:customStyle="1" w:styleId="table-name1">
    <w:name w:val="table-name1"/>
    <w:basedOn w:val="a0"/>
    <w:rsid w:val="0022144D"/>
    <w:rPr>
      <w:color w:val="333333"/>
      <w:sz w:val="36"/>
      <w:szCs w:val="36"/>
    </w:rPr>
  </w:style>
  <w:style w:type="character" w:customStyle="1" w:styleId="table-name2">
    <w:name w:val="table-name2"/>
    <w:basedOn w:val="a0"/>
    <w:rsid w:val="0022144D"/>
    <w:rPr>
      <w:color w:val="333333"/>
      <w:sz w:val="36"/>
      <w:szCs w:val="36"/>
    </w:rPr>
  </w:style>
  <w:style w:type="character" w:customStyle="1" w:styleId="glyphicon25">
    <w:name w:val="glyphicon25"/>
    <w:basedOn w:val="a0"/>
    <w:rsid w:val="0022144D"/>
  </w:style>
  <w:style w:type="paragraph" w:styleId="HTML3">
    <w:name w:val="HTML Preformatted"/>
    <w:basedOn w:val="a"/>
    <w:rsid w:val="0022144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  <w:jc w:val="left"/>
    </w:pPr>
    <w:rPr>
      <w:rFonts w:ascii="Consolas" w:eastAsia="Consolas" w:hAnsi="Consolas"/>
      <w:color w:val="333333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36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813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3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8334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8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64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6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863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2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91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04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66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9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7431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113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912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5967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2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191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38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324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9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4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43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378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4613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3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7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08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5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9238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4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0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64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72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1711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7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90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9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541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3329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1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2018-12-04T01:31:00Z</dcterms:created>
  <dcterms:modified xsi:type="dcterms:W3CDTF">2018-12-04T01:31:00Z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