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4D" w:rsidRDefault="004C2FE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中弘股份退市整理期交易公开信息</w:t>
      </w:r>
    </w:p>
    <w:p w:rsidR="0022144D" w:rsidRDefault="0022144D">
      <w:pPr>
        <w:rPr>
          <w:rFonts w:ascii="仿宋_GB2312" w:eastAsia="仿宋_GB2312" w:hAnsi="宋体"/>
          <w:sz w:val="24"/>
          <w:szCs w:val="24"/>
        </w:rPr>
      </w:pPr>
    </w:p>
    <w:p w:rsidR="0022144D" w:rsidRDefault="004C2FE4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尊敬的投资者：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中弘控股股份有限公司(证券简称：中弘股份，证券代码：000979)因自2018年9月13日至2018年10月18日连续二十个交易日股票的每日收盘价均低于股票面值（1 元），深交所已于2018年11月8日对其作出公司股票终止上市的决定。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根据《深圳证券交易所股票上市规则》，中弘股份自2018年11月16日起进入退市整理期，交易期限为30个交易日，股票的证券简称将变更为“中弘退”，公司证券代码维持不变，股票价格的日涨跌幅限制为10%。退市整理期届满的次一交易日，深圳证券交易所对公司股票予以摘牌。公司股票终止上市后，将转入全国中小企业股份转让系统进行股份转让。</w:t>
      </w:r>
    </w:p>
    <w:p w:rsidR="00DF5153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截止2018年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92416E">
        <w:rPr>
          <w:rFonts w:ascii="仿宋_GB2312" w:eastAsia="仿宋_GB2312" w:hAnsi="宋体" w:hint="eastAsia"/>
          <w:sz w:val="24"/>
          <w:szCs w:val="24"/>
        </w:rPr>
        <w:t>10</w:t>
      </w:r>
      <w:r>
        <w:rPr>
          <w:rFonts w:ascii="仿宋_GB2312" w:eastAsia="仿宋_GB2312" w:hAnsi="宋体" w:hint="eastAsia"/>
          <w:sz w:val="24"/>
          <w:szCs w:val="24"/>
        </w:rPr>
        <w:t>日（含</w:t>
      </w:r>
      <w:r w:rsidR="0092416E">
        <w:rPr>
          <w:rFonts w:ascii="仿宋_GB2312" w:eastAsia="仿宋_GB2312" w:hAnsi="宋体" w:hint="eastAsia"/>
          <w:sz w:val="24"/>
          <w:szCs w:val="24"/>
        </w:rPr>
        <w:t>10</w:t>
      </w:r>
      <w:r>
        <w:rPr>
          <w:rFonts w:ascii="仿宋_GB2312" w:eastAsia="仿宋_GB2312" w:hAnsi="宋体" w:hint="eastAsia"/>
          <w:sz w:val="24"/>
          <w:szCs w:val="24"/>
        </w:rPr>
        <w:t>日），该股票已交易</w:t>
      </w:r>
      <w:r w:rsidR="0092416E">
        <w:rPr>
          <w:rFonts w:ascii="仿宋_GB2312" w:eastAsia="仿宋_GB2312" w:hAnsi="宋体" w:hint="eastAsia"/>
          <w:sz w:val="24"/>
          <w:szCs w:val="24"/>
        </w:rPr>
        <w:t>17</w:t>
      </w:r>
      <w:r>
        <w:rPr>
          <w:rFonts w:ascii="仿宋_GB2312" w:eastAsia="仿宋_GB2312" w:hAnsi="宋体" w:hint="eastAsia"/>
          <w:sz w:val="24"/>
          <w:szCs w:val="24"/>
        </w:rPr>
        <w:t>个交易日，剩余</w:t>
      </w:r>
      <w:r w:rsidR="0092416E">
        <w:rPr>
          <w:rFonts w:ascii="仿宋_GB2312" w:eastAsia="仿宋_GB2312" w:hAnsi="宋体" w:hint="eastAsia"/>
          <w:sz w:val="24"/>
          <w:szCs w:val="24"/>
        </w:rPr>
        <w:t>13</w:t>
      </w:r>
    </w:p>
    <w:p w:rsidR="0022144D" w:rsidRDefault="004C2FE4" w:rsidP="00A01B4C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个交易日。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92416E">
        <w:rPr>
          <w:rFonts w:ascii="仿宋_GB2312" w:eastAsia="仿宋_GB2312" w:hAnsi="宋体" w:hint="eastAsia"/>
          <w:sz w:val="24"/>
          <w:szCs w:val="24"/>
        </w:rPr>
        <w:t>10</w:t>
      </w:r>
      <w:r>
        <w:rPr>
          <w:rFonts w:ascii="仿宋_GB2312" w:eastAsia="仿宋_GB2312" w:hAnsi="宋体" w:hint="eastAsia"/>
          <w:sz w:val="24"/>
          <w:szCs w:val="24"/>
        </w:rPr>
        <w:t>日买入、卖出金额最大的五家证券营业部情况信息如下：</w:t>
      </w:r>
    </w:p>
    <w:p w:rsidR="0022144D" w:rsidRDefault="0022144D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0"/>
        <w:gridCol w:w="2130"/>
        <w:gridCol w:w="2369"/>
        <w:gridCol w:w="2268"/>
      </w:tblGrid>
      <w:tr w:rsidR="0022144D"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成交量（股）</w:t>
            </w:r>
          </w:p>
        </w:tc>
        <w:tc>
          <w:tcPr>
            <w:tcW w:w="2268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成交金额（元）</w:t>
            </w:r>
          </w:p>
        </w:tc>
      </w:tr>
      <w:tr w:rsidR="0022144D"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979</w:t>
            </w:r>
          </w:p>
        </w:tc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中弘退</w:t>
            </w:r>
          </w:p>
        </w:tc>
        <w:tc>
          <w:tcPr>
            <w:tcW w:w="2369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177916790</w:t>
            </w:r>
          </w:p>
        </w:tc>
        <w:tc>
          <w:tcPr>
            <w:tcW w:w="2268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47213874.67</w:t>
            </w:r>
          </w:p>
        </w:tc>
      </w:tr>
    </w:tbl>
    <w:p w:rsidR="0022144D" w:rsidRDefault="0022144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6501"/>
        <w:gridCol w:w="1783"/>
      </w:tblGrid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01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买入营业部名称</w:t>
            </w:r>
          </w:p>
        </w:tc>
        <w:tc>
          <w:tcPr>
            <w:tcW w:w="1783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累计买入金额(元)</w:t>
            </w:r>
          </w:p>
        </w:tc>
      </w:tr>
      <w:tr w:rsidR="0022144D">
        <w:trPr>
          <w:trHeight w:val="537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01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国泰君安证券股份有限公司长沙五一东路证券营业部</w:t>
            </w:r>
          </w:p>
        </w:tc>
        <w:tc>
          <w:tcPr>
            <w:tcW w:w="178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4460000.00</w:t>
            </w:r>
            <w:r w:rsidR="00A95E7B" w:rsidRPr="00A95E7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01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华泰证券股份有限公司杭州求是路证券营业部</w:t>
            </w:r>
          </w:p>
        </w:tc>
        <w:tc>
          <w:tcPr>
            <w:tcW w:w="178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2431523.00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01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国信证券股份有限公司广州东风中路证券营业部</w:t>
            </w:r>
          </w:p>
        </w:tc>
        <w:tc>
          <w:tcPr>
            <w:tcW w:w="178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2207976.00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01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广发证券股份有限公司潮州潮枫路证券营业部</w:t>
            </w:r>
          </w:p>
        </w:tc>
        <w:tc>
          <w:tcPr>
            <w:tcW w:w="178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2094694.00</w:t>
            </w:r>
            <w:r w:rsidR="00FB1B98" w:rsidRPr="00FB1B98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</w:p>
        </w:tc>
      </w:tr>
      <w:tr w:rsidR="0022144D">
        <w:trPr>
          <w:trHeight w:val="473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01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华福证券有限责任公司泉州丰泽街证券营业部</w:t>
            </w:r>
          </w:p>
        </w:tc>
        <w:tc>
          <w:tcPr>
            <w:tcW w:w="178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1820000.00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</w:p>
        </w:tc>
      </w:tr>
    </w:tbl>
    <w:p w:rsidR="0022144D" w:rsidRDefault="0022144D">
      <w:pPr>
        <w:rPr>
          <w:rFonts w:ascii="仿宋_GB2312" w:eastAsia="仿宋_GB2312"/>
          <w:sz w:val="24"/>
          <w:szCs w:val="24"/>
        </w:rPr>
      </w:pPr>
    </w:p>
    <w:p w:rsidR="0022144D" w:rsidRDefault="0022144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6513"/>
        <w:gridCol w:w="1842"/>
      </w:tblGrid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累计卖出金额(元)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国信证券股份有限公司北京朝阳北路证券营业部</w:t>
            </w:r>
          </w:p>
        </w:tc>
        <w:tc>
          <w:tcPr>
            <w:tcW w:w="1842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2700000.00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1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中国中投证券有限责任公司宁波江东北路证券营业部</w:t>
            </w:r>
          </w:p>
        </w:tc>
        <w:tc>
          <w:tcPr>
            <w:tcW w:w="1842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1958441.00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1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浙商证券股份有限公司江苏分公司</w:t>
            </w:r>
          </w:p>
        </w:tc>
        <w:tc>
          <w:tcPr>
            <w:tcW w:w="1842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1590000.00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1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>华泰证券股份有限公司泰州分公司</w:t>
            </w:r>
          </w:p>
        </w:tc>
        <w:tc>
          <w:tcPr>
            <w:tcW w:w="1842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1459850.00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13" w:type="dxa"/>
            <w:vAlign w:val="center"/>
          </w:tcPr>
          <w:p w:rsidR="0022144D" w:rsidRDefault="009241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 w:hint="eastAsia"/>
                <w:sz w:val="24"/>
                <w:szCs w:val="24"/>
              </w:rPr>
              <w:t xml:space="preserve">广发证券股份有限公司长沙五一路证券营业部  </w:t>
            </w:r>
          </w:p>
        </w:tc>
        <w:tc>
          <w:tcPr>
            <w:tcW w:w="1842" w:type="dxa"/>
            <w:vAlign w:val="center"/>
          </w:tcPr>
          <w:p w:rsidR="0022144D" w:rsidRDefault="0092416E" w:rsidP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416E">
              <w:rPr>
                <w:rFonts w:ascii="仿宋_GB2312" w:eastAsia="仿宋_GB2312"/>
                <w:sz w:val="24"/>
                <w:szCs w:val="24"/>
              </w:rPr>
              <w:t>1379078.00</w:t>
            </w:r>
          </w:p>
        </w:tc>
      </w:tr>
    </w:tbl>
    <w:p w:rsidR="0022144D" w:rsidRDefault="0022144D"/>
    <w:p w:rsidR="004C2FE4" w:rsidRDefault="004C2FE4"/>
    <w:sectPr w:rsidR="004C2FE4" w:rsidSect="002214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6F3"/>
    <w:rsid w:val="00036A21"/>
    <w:rsid w:val="00093A5E"/>
    <w:rsid w:val="00131765"/>
    <w:rsid w:val="00167E67"/>
    <w:rsid w:val="001C7A20"/>
    <w:rsid w:val="0022144D"/>
    <w:rsid w:val="003840AF"/>
    <w:rsid w:val="003B5F1E"/>
    <w:rsid w:val="004C2FE4"/>
    <w:rsid w:val="0080144A"/>
    <w:rsid w:val="008922A5"/>
    <w:rsid w:val="008A0403"/>
    <w:rsid w:val="008A0456"/>
    <w:rsid w:val="008E3FC4"/>
    <w:rsid w:val="0092416E"/>
    <w:rsid w:val="00A01B4C"/>
    <w:rsid w:val="00A63CBE"/>
    <w:rsid w:val="00A76476"/>
    <w:rsid w:val="00A9510C"/>
    <w:rsid w:val="00A95E7B"/>
    <w:rsid w:val="00B2420E"/>
    <w:rsid w:val="00B966F3"/>
    <w:rsid w:val="00C840BA"/>
    <w:rsid w:val="00DF5153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22144D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a3">
    <w:name w:val="FollowedHyperlink"/>
    <w:basedOn w:val="a0"/>
    <w:rsid w:val="0022144D"/>
    <w:rPr>
      <w:color w:val="337AB7"/>
      <w:u w:val="none"/>
    </w:rPr>
  </w:style>
  <w:style w:type="character" w:styleId="HTML0">
    <w:name w:val="HTML Code"/>
    <w:basedOn w:val="a0"/>
    <w:rsid w:val="0022144D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a4">
    <w:name w:val="Hyperlink"/>
    <w:basedOn w:val="a0"/>
    <w:rsid w:val="0022144D"/>
    <w:rPr>
      <w:color w:val="337AB7"/>
      <w:u w:val="none"/>
    </w:rPr>
  </w:style>
  <w:style w:type="character" w:styleId="HTML1">
    <w:name w:val="HTML Definition"/>
    <w:basedOn w:val="a0"/>
    <w:rsid w:val="0022144D"/>
    <w:rPr>
      <w:i/>
    </w:rPr>
  </w:style>
  <w:style w:type="character" w:styleId="HTML2">
    <w:name w:val="HTML Sample"/>
    <w:basedOn w:val="a0"/>
    <w:rsid w:val="0022144D"/>
    <w:rPr>
      <w:rFonts w:ascii="Consolas" w:eastAsia="Consolas" w:hAnsi="Consolas" w:cs="Consolas" w:hint="default"/>
      <w:sz w:val="21"/>
      <w:szCs w:val="21"/>
    </w:rPr>
  </w:style>
  <w:style w:type="character" w:styleId="a5">
    <w:name w:val="Strong"/>
    <w:basedOn w:val="a0"/>
    <w:qFormat/>
    <w:rsid w:val="0022144D"/>
    <w:rPr>
      <w:b/>
      <w:bdr w:val="none" w:sz="0" w:space="0" w:color="auto"/>
    </w:rPr>
  </w:style>
  <w:style w:type="character" w:customStyle="1" w:styleId="table-name3">
    <w:name w:val="table-name3"/>
    <w:basedOn w:val="a0"/>
    <w:rsid w:val="0022144D"/>
    <w:rPr>
      <w:color w:val="333333"/>
      <w:sz w:val="36"/>
      <w:szCs w:val="36"/>
    </w:rPr>
  </w:style>
  <w:style w:type="character" w:customStyle="1" w:styleId="footer-email">
    <w:name w:val="footer-email"/>
    <w:basedOn w:val="a0"/>
    <w:rsid w:val="0022144D"/>
    <w:rPr>
      <w:sz w:val="27"/>
      <w:szCs w:val="27"/>
    </w:rPr>
  </w:style>
  <w:style w:type="character" w:customStyle="1" w:styleId="table-name5">
    <w:name w:val="table-name5"/>
    <w:basedOn w:val="a0"/>
    <w:rsid w:val="0022144D"/>
    <w:rPr>
      <w:color w:val="162E64"/>
      <w:sz w:val="24"/>
      <w:szCs w:val="24"/>
    </w:rPr>
  </w:style>
  <w:style w:type="character" w:customStyle="1" w:styleId="remain">
    <w:name w:val="remain"/>
    <w:basedOn w:val="a0"/>
    <w:rsid w:val="0022144D"/>
    <w:rPr>
      <w:b/>
      <w:i/>
      <w:color w:val="666666"/>
      <w:sz w:val="22"/>
      <w:szCs w:val="22"/>
    </w:rPr>
  </w:style>
  <w:style w:type="character" w:customStyle="1" w:styleId="table-subname1">
    <w:name w:val="table-subname1"/>
    <w:basedOn w:val="a0"/>
    <w:rsid w:val="0022144D"/>
    <w:rPr>
      <w:color w:val="333333"/>
      <w:sz w:val="42"/>
      <w:szCs w:val="42"/>
    </w:rPr>
  </w:style>
  <w:style w:type="character" w:customStyle="1" w:styleId="glyphicon26">
    <w:name w:val="glyphicon26"/>
    <w:basedOn w:val="a0"/>
    <w:rsid w:val="0022144D"/>
  </w:style>
  <w:style w:type="character" w:customStyle="1" w:styleId="glyphicon">
    <w:name w:val="glyphicon"/>
    <w:basedOn w:val="a0"/>
    <w:rsid w:val="0022144D"/>
  </w:style>
  <w:style w:type="character" w:customStyle="1" w:styleId="table-subname">
    <w:name w:val="table-subname"/>
    <w:basedOn w:val="a0"/>
    <w:rsid w:val="0022144D"/>
    <w:rPr>
      <w:color w:val="999999"/>
      <w:sz w:val="18"/>
      <w:szCs w:val="18"/>
    </w:rPr>
  </w:style>
  <w:style w:type="character" w:customStyle="1" w:styleId="table-name">
    <w:name w:val="table-name"/>
    <w:basedOn w:val="a0"/>
    <w:rsid w:val="0022144D"/>
    <w:rPr>
      <w:color w:val="162E64"/>
      <w:sz w:val="24"/>
      <w:szCs w:val="24"/>
    </w:rPr>
  </w:style>
  <w:style w:type="character" w:customStyle="1" w:styleId="table-name4">
    <w:name w:val="table-name4"/>
    <w:basedOn w:val="a0"/>
    <w:rsid w:val="0022144D"/>
    <w:rPr>
      <w:color w:val="333333"/>
      <w:sz w:val="36"/>
      <w:szCs w:val="36"/>
    </w:rPr>
  </w:style>
  <w:style w:type="character" w:customStyle="1" w:styleId="table-name1">
    <w:name w:val="table-name1"/>
    <w:basedOn w:val="a0"/>
    <w:rsid w:val="0022144D"/>
    <w:rPr>
      <w:color w:val="333333"/>
      <w:sz w:val="36"/>
      <w:szCs w:val="36"/>
    </w:rPr>
  </w:style>
  <w:style w:type="character" w:customStyle="1" w:styleId="table-name2">
    <w:name w:val="table-name2"/>
    <w:basedOn w:val="a0"/>
    <w:rsid w:val="0022144D"/>
    <w:rPr>
      <w:color w:val="333333"/>
      <w:sz w:val="36"/>
      <w:szCs w:val="36"/>
    </w:rPr>
  </w:style>
  <w:style w:type="character" w:customStyle="1" w:styleId="glyphicon25">
    <w:name w:val="glyphicon25"/>
    <w:basedOn w:val="a0"/>
    <w:rsid w:val="0022144D"/>
  </w:style>
  <w:style w:type="paragraph" w:styleId="HTML3">
    <w:name w:val="HTML Preformatted"/>
    <w:basedOn w:val="a"/>
    <w:rsid w:val="0022144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eastAsia="Consolas" w:hAnsi="Consolas"/>
      <w:color w:val="333333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6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81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83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4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63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66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743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448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729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58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3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445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5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97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613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1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94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0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449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0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1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122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3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1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596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191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38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324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43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8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461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6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02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1866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923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64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7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171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9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41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329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2018-12-11T01:07:00Z</dcterms:created>
  <dcterms:modified xsi:type="dcterms:W3CDTF">2018-12-11T01:07:00Z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