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众合退</w:t>
      </w:r>
      <w:r>
        <w:rPr>
          <w:rFonts w:hint="eastAsia" w:ascii="黑体" w:eastAsia="黑体"/>
          <w:sz w:val="44"/>
          <w:szCs w:val="44"/>
        </w:rPr>
        <w:t>退市整理期交易公开信息</w:t>
      </w:r>
    </w:p>
    <w:p>
      <w:pPr>
        <w:rPr>
          <w:rFonts w:ascii="仿宋_GB2312" w:hAnsi="宋体" w:eastAsia="仿宋_GB2312"/>
          <w:sz w:val="24"/>
          <w:szCs w:val="24"/>
        </w:rPr>
      </w:pPr>
    </w:p>
    <w:p>
      <w:pPr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尊敬的投资者：</w:t>
      </w:r>
    </w:p>
    <w:p>
      <w:pPr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福建众和股份有限公司因 2015年、2016年、2017年连续三个会计年度经审计的净利润为负值，公司股票自 2018年5月15日起暂停上市。2019年4月30日，公司披露的2018年年度报告显示，公司财务会计报告被出具了无法表示意见的审计报告。2019年5月17日收到深圳证券交易所《关于福建众和股份有限公司股票终止上市的决定》（深证上[2019]288号），并于201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eastAsia="仿宋_GB2312"/>
          <w:sz w:val="24"/>
          <w:szCs w:val="24"/>
        </w:rPr>
        <w:t>年5月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18</w:t>
      </w:r>
      <w:r>
        <w:rPr>
          <w:rFonts w:hint="eastAsia" w:ascii="仿宋_GB2312" w:eastAsia="仿宋_GB2312"/>
          <w:sz w:val="24"/>
          <w:szCs w:val="24"/>
        </w:rPr>
        <w:t>日，发布《福建众和股份有限公司关于公司股票终止上市的公告》。公司股票终止上市后，将转入全国中小企业股份转让系统进行股份转让。</w:t>
      </w:r>
    </w:p>
    <w:p>
      <w:pPr>
        <w:ind w:firstLine="480" w:firstLineChars="20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根据《深圳证券交易所股票上市规则》，该公司股票（股票简称“*ST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众合</w:t>
      </w:r>
      <w:r>
        <w:rPr>
          <w:rFonts w:hint="eastAsia" w:ascii="仿宋_GB2312" w:hAnsi="宋体" w:eastAsia="仿宋_GB2312"/>
          <w:sz w:val="24"/>
          <w:szCs w:val="24"/>
        </w:rPr>
        <w:t>”，股票代码0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02070</w:t>
      </w:r>
      <w:r>
        <w:rPr>
          <w:rFonts w:hint="eastAsia" w:ascii="仿宋_GB2312" w:hAnsi="宋体" w:eastAsia="仿宋_GB2312"/>
          <w:sz w:val="24"/>
          <w:szCs w:val="24"/>
        </w:rPr>
        <w:t>）自201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5</w:t>
      </w:r>
      <w:r>
        <w:rPr>
          <w:rFonts w:hint="eastAsia" w:ascii="仿宋_GB2312" w:hAnsi="宋体" w:eastAsia="仿宋_GB2312"/>
          <w:sz w:val="24"/>
          <w:szCs w:val="24"/>
        </w:rPr>
        <w:t>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27</w:t>
      </w:r>
      <w:r>
        <w:rPr>
          <w:rFonts w:hint="eastAsia" w:ascii="仿宋_GB2312" w:hAnsi="宋体" w:eastAsia="仿宋_GB2312"/>
          <w:sz w:val="24"/>
          <w:szCs w:val="24"/>
        </w:rPr>
        <w:t>日起进入退市整理期交易，退市整理期为30个交易日，公司证券简称将变更为“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众合</w:t>
      </w:r>
      <w:r>
        <w:rPr>
          <w:rFonts w:hint="eastAsia" w:ascii="仿宋_GB2312" w:hAnsi="宋体" w:eastAsia="仿宋_GB2312"/>
          <w:sz w:val="24"/>
          <w:szCs w:val="24"/>
        </w:rPr>
        <w:t>退”，公司证券代码维持不变，股票价格的日涨跌幅限制为10%，预计最后交易日期为201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年7月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8</w:t>
      </w:r>
      <w:r>
        <w:rPr>
          <w:rFonts w:hint="eastAsia" w:ascii="仿宋_GB2312" w:hAnsi="宋体" w:eastAsia="仿宋_GB2312"/>
          <w:sz w:val="24"/>
          <w:szCs w:val="24"/>
        </w:rPr>
        <w:t>日。公司股票在退市整理期间的全天停牌不计入退市整理期。公司因特殊原因向深圳证券交易所申请股票全天停牌的，累计停牌天数不超过五个交易日。退市整理期届满的次一交易日，深圳证券交易所对该公司股票予以摘牌。</w:t>
      </w:r>
    </w:p>
    <w:p>
      <w:pPr>
        <w:ind w:firstLine="48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4"/>
          <w:szCs w:val="24"/>
        </w:rPr>
        <w:t>截止201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6</w:t>
      </w:r>
      <w:r>
        <w:rPr>
          <w:rFonts w:hint="eastAsia" w:ascii="仿宋_GB2312" w:hAnsi="宋体" w:eastAsia="仿宋_GB2312"/>
          <w:sz w:val="24"/>
          <w:szCs w:val="24"/>
        </w:rPr>
        <w:t>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20</w:t>
      </w:r>
      <w:r>
        <w:rPr>
          <w:rFonts w:hint="eastAsia" w:ascii="仿宋_GB2312" w:hAnsi="宋体" w:eastAsia="仿宋_GB2312"/>
          <w:sz w:val="24"/>
          <w:szCs w:val="24"/>
        </w:rPr>
        <w:t>日（含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20</w:t>
      </w:r>
      <w:r>
        <w:rPr>
          <w:rFonts w:hint="eastAsia" w:ascii="仿宋_GB2312" w:hAnsi="宋体" w:eastAsia="仿宋_GB2312"/>
          <w:sz w:val="24"/>
          <w:szCs w:val="24"/>
        </w:rPr>
        <w:t>日），该股票已交易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18</w:t>
      </w:r>
      <w:r>
        <w:rPr>
          <w:rFonts w:hint="eastAsia" w:ascii="仿宋_GB2312" w:hAnsi="宋体" w:eastAsia="仿宋_GB2312"/>
          <w:sz w:val="24"/>
          <w:szCs w:val="24"/>
        </w:rPr>
        <w:t>个交易日，剩余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12</w:t>
      </w:r>
      <w:r>
        <w:rPr>
          <w:rFonts w:hint="eastAsia" w:ascii="仿宋_GB2312" w:hAnsi="宋体" w:eastAsia="仿宋_GB2312"/>
          <w:sz w:val="24"/>
          <w:szCs w:val="24"/>
        </w:rPr>
        <w:t>个交易日。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6</w:t>
      </w:r>
      <w:r>
        <w:rPr>
          <w:rFonts w:hint="eastAsia" w:ascii="仿宋_GB2312" w:hAnsi="宋体" w:eastAsia="仿宋_GB2312"/>
          <w:sz w:val="24"/>
          <w:szCs w:val="24"/>
        </w:rPr>
        <w:t>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20</w:t>
      </w:r>
      <w:r>
        <w:rPr>
          <w:rFonts w:hint="eastAsia" w:ascii="仿宋_GB2312" w:hAnsi="宋体" w:eastAsia="仿宋_GB2312"/>
          <w:sz w:val="24"/>
          <w:szCs w:val="24"/>
        </w:rPr>
        <w:t>日买入、卖出金额最大的五家证券营业部情况信息如下：</w:t>
      </w:r>
    </w:p>
    <w:tbl>
      <w:tblPr>
        <w:tblStyle w:val="5"/>
        <w:tblpPr w:leftFromText="180" w:rightFromText="180" w:vertAnchor="text" w:horzAnchor="page" w:tblpX="1792" w:tblpY="154"/>
        <w:tblOverlap w:val="never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369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证券代码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证券简称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成交量（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万</w:t>
            </w:r>
            <w:r>
              <w:rPr>
                <w:rFonts w:hint="eastAsia" w:ascii="仿宋_GB2312" w:eastAsia="仿宋_GB2312"/>
                <w:sz w:val="24"/>
                <w:szCs w:val="24"/>
              </w:rPr>
              <w:t>股）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成交金额（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万</w:t>
            </w:r>
            <w:r>
              <w:rPr>
                <w:rFonts w:hint="eastAsia" w:ascii="仿宋_GB2312" w:eastAsia="仿宋_GB2312"/>
                <w:sz w:val="24"/>
                <w:szCs w:val="24"/>
              </w:rPr>
              <w:t>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00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2070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众合退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3540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2089</w:t>
            </w:r>
          </w:p>
        </w:tc>
      </w:tr>
    </w:tbl>
    <w:tbl>
      <w:tblPr>
        <w:tblStyle w:val="5"/>
        <w:tblpPr w:leftFromText="180" w:rightFromText="180" w:vertAnchor="text" w:horzAnchor="page" w:tblpX="1807" w:tblpY="1280"/>
        <w:tblOverlap w:val="never"/>
        <w:tblW w:w="874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6247"/>
        <w:gridCol w:w="17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6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买入营业部名称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买入金额(元)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6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国信证券股份有限公司佛山禅城分公司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6349403.00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6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国金证券股份有限公司上海奉贤区金碧路证券营业部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1828941.00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2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华泰证券股份有限公司上海共和新路证券营业部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1323606.00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2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东北证券股份有限公司重庆沙南街证券营业部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590000.00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2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西藏东方财富证券股份有限公司拉萨北京中路营业部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532357.00</w:t>
            </w:r>
          </w:p>
        </w:tc>
      </w:tr>
    </w:tbl>
    <w:p>
      <w:pPr>
        <w:jc w:val="center"/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tbl>
      <w:tblPr>
        <w:tblStyle w:val="5"/>
        <w:tblpPr w:leftFromText="180" w:rightFromText="180" w:vertAnchor="text" w:horzAnchor="page" w:tblpX="1807" w:tblpY="47"/>
        <w:tblOverlap w:val="never"/>
        <w:tblW w:w="874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6236"/>
        <w:gridCol w:w="17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62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卖出营业部名称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卖出金额（元）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62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华泰证券股份有限公司杭州求是路证券营业部  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2359764.00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2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招商证券股份有限公司深圳前海路证券营业部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1767406.95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2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兴业证券股份有限公司福州树汤路证券营业部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718884.91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2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长江证券股份有限公司杭州秋涛北路证券营业部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553797.01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2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华泰证券股份有限公司常州和平北路证券营业部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487576.00</w:t>
            </w:r>
            <w:bookmarkStart w:id="0" w:name="_GoBack"/>
            <w:bookmarkEnd w:id="0"/>
          </w:p>
        </w:tc>
      </w:tr>
    </w:tbl>
    <w:p>
      <w:pPr>
        <w:jc w:val="center"/>
        <w:rPr>
          <w:rFonts w:ascii="仿宋_GB2312" w:eastAsia="仿宋_GB2312"/>
          <w:sz w:val="24"/>
          <w:szCs w:val="24"/>
        </w:rPr>
      </w:pPr>
    </w:p>
    <w:p>
      <w:pPr>
        <w:jc w:val="center"/>
        <w:rPr>
          <w:rFonts w:ascii="仿宋_GB2312" w:eastAsia="仿宋_GB2312"/>
          <w:sz w:val="24"/>
          <w:szCs w:val="24"/>
        </w:rPr>
      </w:pPr>
    </w:p>
    <w:p>
      <w:pPr>
        <w:jc w:val="center"/>
        <w:rPr>
          <w:rFonts w:ascii="仿宋_GB2312" w:eastAsia="仿宋_GB2312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40"/>
    <w:rsid w:val="000A58E2"/>
    <w:rsid w:val="00137161"/>
    <w:rsid w:val="00147BC5"/>
    <w:rsid w:val="001B3D40"/>
    <w:rsid w:val="001C5825"/>
    <w:rsid w:val="00204D4A"/>
    <w:rsid w:val="0022055F"/>
    <w:rsid w:val="002C4E90"/>
    <w:rsid w:val="002E6268"/>
    <w:rsid w:val="004A7D57"/>
    <w:rsid w:val="005145C8"/>
    <w:rsid w:val="00594180"/>
    <w:rsid w:val="00641F22"/>
    <w:rsid w:val="0069033A"/>
    <w:rsid w:val="006A6C45"/>
    <w:rsid w:val="00762972"/>
    <w:rsid w:val="008155A0"/>
    <w:rsid w:val="00840DD9"/>
    <w:rsid w:val="008B7E90"/>
    <w:rsid w:val="009446C1"/>
    <w:rsid w:val="009B512C"/>
    <w:rsid w:val="00A65C10"/>
    <w:rsid w:val="00A86312"/>
    <w:rsid w:val="00B9599C"/>
    <w:rsid w:val="00CA4730"/>
    <w:rsid w:val="00DE44F9"/>
    <w:rsid w:val="00EE0C06"/>
    <w:rsid w:val="00F231AB"/>
    <w:rsid w:val="00FC50F7"/>
    <w:rsid w:val="046363D4"/>
    <w:rsid w:val="0B146201"/>
    <w:rsid w:val="0B5B5534"/>
    <w:rsid w:val="0F584E66"/>
    <w:rsid w:val="0F84783B"/>
    <w:rsid w:val="1BB10750"/>
    <w:rsid w:val="1F6415FE"/>
    <w:rsid w:val="3F1B0A48"/>
    <w:rsid w:val="459509D7"/>
    <w:rsid w:val="476A62C4"/>
    <w:rsid w:val="496C4408"/>
    <w:rsid w:val="4A62733E"/>
    <w:rsid w:val="4BB02823"/>
    <w:rsid w:val="53DC5B32"/>
    <w:rsid w:val="5450063E"/>
    <w:rsid w:val="6792000C"/>
    <w:rsid w:val="70D42894"/>
    <w:rsid w:val="77D74978"/>
    <w:rsid w:val="7C4C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7">
    <w:name w:val="spanoutputhighelement"/>
    <w:basedOn w:val="6"/>
    <w:qFormat/>
    <w:uiPriority w:val="0"/>
    <w:rPr>
      <w:color w:val="FFFFFF"/>
      <w:shd w:val="clear" w:color="auto" w:fill="000040"/>
    </w:rPr>
  </w:style>
  <w:style w:type="character" w:customStyle="1" w:styleId="8">
    <w:name w:val="spanoutputtitleelement"/>
    <w:basedOn w:val="6"/>
    <w:qFormat/>
    <w:uiPriority w:val="0"/>
    <w:rPr>
      <w:color w:val="000000"/>
      <w:shd w:val="clear" w:color="auto" w:fill="2A81B8"/>
    </w:rPr>
  </w:style>
  <w:style w:type="character" w:customStyle="1" w:styleId="9">
    <w:name w:val="spanoutputtextdropdown"/>
    <w:basedOn w:val="6"/>
    <w:qFormat/>
    <w:uiPriority w:val="0"/>
    <w:rPr>
      <w:vanish/>
      <w:bdr w:val="single" w:color="000000" w:sz="6" w:space="0"/>
      <w:shd w:val="clear" w:color="auto" w:fill="C0C0C0"/>
    </w:rPr>
  </w:style>
  <w:style w:type="character" w:customStyle="1" w:styleId="10">
    <w:name w:val="spanoutputnormalelement"/>
    <w:basedOn w:val="6"/>
    <w:qFormat/>
    <w:uiPriority w:val="0"/>
    <w:rPr>
      <w:color w:val="000000"/>
      <w:shd w:val="clear" w:color="auto" w:fill="FFFFFF"/>
    </w:rPr>
  </w:style>
  <w:style w:type="character" w:customStyle="1" w:styleId="11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516D6D-8B1B-419E-97EA-05EC394587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190</Words>
  <Characters>1083</Characters>
  <Lines>9</Lines>
  <Paragraphs>2</Paragraphs>
  <TotalTime>21</TotalTime>
  <ScaleCrop>false</ScaleCrop>
  <LinksUpToDate>false</LinksUpToDate>
  <CharactersWithSpaces>1271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2018-07-03T01:08:00Z</dcterms:created>
  <dc:creator>Administrator</dc:creator>
  <cp:lastModifiedBy>Administrator</cp:lastModifiedBy>
  <dcterms:modified xsi:type="dcterms:W3CDTF">2019-06-21T02:00:17Z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