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黑体" w:hAnsi="黑体" w:eastAsia="黑体" w:cs="Times New Roman"/>
          <w:b/>
          <w:bCs/>
          <w:sz w:val="36"/>
          <w:szCs w:val="36"/>
        </w:rPr>
      </w:pPr>
      <w:bookmarkStart w:id="0" w:name="_GoBack"/>
      <w:bookmarkEnd w:id="0"/>
      <w:r>
        <w:rPr>
          <w:rFonts w:hint="eastAsia" w:ascii="黑体" w:hAnsi="黑体" w:eastAsia="黑体" w:cs="Times New Roman"/>
          <w:b/>
          <w:bCs/>
          <w:sz w:val="36"/>
          <w:szCs w:val="36"/>
        </w:rPr>
        <w:t>上海证券交易所科创板股票交易风险揭示书</w:t>
      </w:r>
    </w:p>
    <w:p>
      <w:pPr>
        <w:spacing w:line="560" w:lineRule="exact"/>
        <w:ind w:firstLine="0" w:firstLineChars="0"/>
        <w:rPr>
          <w:rFonts w:ascii="仿宋_GB2312" w:eastAsia="仿宋_GB2312"/>
          <w:bCs/>
          <w:sz w:val="30"/>
          <w:szCs w:val="30"/>
        </w:rPr>
      </w:pPr>
      <w:r>
        <w:rPr>
          <w:rFonts w:hint="eastAsia" w:ascii="仿宋_GB2312" w:eastAsia="仿宋_GB2312"/>
          <w:bCs/>
          <w:sz w:val="30"/>
          <w:szCs w:val="30"/>
        </w:rPr>
        <w:t>尊敬的投资者：</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当您决定参与科创板股票交易之前，请您务必充分了解上海证券交易所（以下简称上交所）科创板股票或存托凭证（以下统称科创板股票）交易（含发行申购）的相关风险，详细了解《上海证券交易所科创板股票交易特别规定》、《上海证券交易所科创板股票上市规则》等法律法规，认真阅读并签署本风险揭示书。</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投资者从事科创板股票交易，除了面临证券市场中的宏观经济风险、政策风险、上市公司经营风险、技术风险、不可抗力因素导致的风险等，还可能面临包括但不限于以下风险：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一、科创板企业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二、科创板企业可能存在首次公开发行前最近</w:t>
      </w:r>
      <w:r>
        <w:rPr>
          <w:rFonts w:ascii="仿宋_GB2312" w:eastAsia="仿宋_GB2312"/>
          <w:bCs/>
          <w:sz w:val="30"/>
          <w:szCs w:val="30"/>
        </w:rPr>
        <w:t>3</w:t>
      </w:r>
      <w:r>
        <w:rPr>
          <w:rFonts w:hint="eastAsia" w:ascii="仿宋_GB2312" w:eastAsia="仿宋_GB2312"/>
          <w:bCs/>
          <w:sz w:val="30"/>
          <w:szCs w:val="30"/>
        </w:rPr>
        <w:t>个会计年度未能连续盈利、公开发行并上市时尚未盈利、有累计未弥补亏损等情形，可能存在上市后仍无法盈利、持续亏损、无法进行利润分配等情形。</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三、科创板新股发行价格、规模、节奏等坚持市场化导向，询价、定价、配售等环节由机构投资者主导。科创板新股发行全部采用询价定价方式，询价对象限定在证券公司等七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四、初步询价结束后，科创板发行人预计发行后总市值不满足其在招股说明书中明确选择的市值与财务指标上市标准的，将按规定中止发行。</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五、科创板股票网上发行比例、网下向网上回拨比例、申购单位、投资风险特别公告发布等与目前上交所主板股票发行规则存在差异，投资者应当在申购环节充分知悉并关注相关规则。</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六、首次公开发行股票时，发行人和主承销商可以采用超额配售选择权，不受首次公开发行股票数量条件的限制，即存在超额配售选择权实施结束后，发行人增发股票的可能性。</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七、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八、科创板制度允许上市公司设置表决权差异安排。上市公司可能根据此项安排，存在控制权相对集中，以及因每一特别表决权股份拥有的表决权数量大于每一普通股份拥有的表决权数量等情形，而使普通投资者的表决权利及对公司日常经营等事务的影响力受到限制。</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九、出现《上海证券交易所科创板股票上市规则》以及上市公司章程规定的情形时，特别表决权股份将按</w:t>
      </w:r>
      <w:r>
        <w:rPr>
          <w:rFonts w:ascii="仿宋_GB2312" w:eastAsia="仿宋_GB2312"/>
          <w:bCs/>
          <w:sz w:val="30"/>
          <w:szCs w:val="30"/>
        </w:rPr>
        <w:t xml:space="preserve"> 1:1 </w:t>
      </w:r>
      <w:r>
        <w:rPr>
          <w:rFonts w:hint="eastAsia" w:ascii="仿宋_GB2312" w:eastAsia="仿宋_GB2312"/>
          <w:bCs/>
          <w:sz w:val="30"/>
          <w:szCs w:val="30"/>
        </w:rPr>
        <w:t>的比例转换为普通股份。股份转换自相关情形发生时即生效，并可能与相关股份转换登记时点存在差异。投资者需及时关注上市公司相关公告，以了解特别表决权股份变动事宜。</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十一、科创板股票竞价交易设置较宽的涨跌幅限制，首次公开发行上市的股票，上市后的前</w:t>
      </w:r>
      <w:r>
        <w:rPr>
          <w:rFonts w:ascii="仿宋_GB2312" w:eastAsia="仿宋_GB2312"/>
          <w:bCs/>
          <w:sz w:val="30"/>
          <w:szCs w:val="30"/>
        </w:rPr>
        <w:t>5</w:t>
      </w:r>
      <w:r>
        <w:rPr>
          <w:rFonts w:hint="eastAsia" w:ascii="仿宋_GB2312" w:eastAsia="仿宋_GB2312"/>
          <w:bCs/>
          <w:sz w:val="30"/>
          <w:szCs w:val="30"/>
        </w:rPr>
        <w:t>个交易日不设涨跌幅限制，其后涨跌幅限制为</w:t>
      </w:r>
      <w:r>
        <w:rPr>
          <w:rFonts w:ascii="仿宋_GB2312" w:eastAsia="仿宋_GB2312"/>
          <w:bCs/>
          <w:sz w:val="30"/>
          <w:szCs w:val="30"/>
        </w:rPr>
        <w:t>20%</w:t>
      </w:r>
      <w:r>
        <w:rPr>
          <w:rFonts w:hint="eastAsia" w:ascii="仿宋_GB2312" w:eastAsia="仿宋_GB2312"/>
          <w:bCs/>
          <w:sz w:val="30"/>
          <w:szCs w:val="30"/>
        </w:rPr>
        <w:t>，投资者应当关注可能产生的股价波动的风险。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十二、科创板在条件成熟时将引入做市商机制，请投资者及时关注相关事项。</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十三、投资者需关注科创板股票交易的单笔申报数量、最小价格变动单位、有效申报价格范围等与上交所主板市场股票交易存在差异，避免产生无效申报。</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四、投资者需关注科创板股票交易方式包括竞价交易、盘后固定价格交易及大宗交易，不同交易方式的交易时间、申报要求、成交原则等存在差异。科创板股票大宗交易，不适用上交所主板市场股票大宗交易中固定价格申报的相关规定。</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十五、科创板股票上市首日即可作为融资融券标的，与上交所主板市场存在差异，投资者应注意相关风险。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十六、科创板股票交易盘中临时停牌情形和严重异常波动股票核查制度与上交所主板市场规定不同，投资者应当关注与此相关的风险。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七、符合相关规定的红筹企业可以在科创板上市。红筹企业在境外注册，可能采用协议控制架构，在信息披露、分红派息等方面可能与境内上市公司存在差异。红筹公司注册地、境外上市地等地法律法规对当地投资者提供的保护</w:t>
      </w:r>
      <w:r>
        <w:rPr>
          <w:rFonts w:ascii="仿宋_GB2312" w:eastAsia="仿宋_GB2312"/>
          <w:bCs/>
          <w:sz w:val="30"/>
          <w:szCs w:val="30"/>
        </w:rPr>
        <w:t>,</w:t>
      </w:r>
      <w:r>
        <w:rPr>
          <w:rFonts w:hint="eastAsia" w:ascii="仿宋_GB2312" w:eastAsia="仿宋_GB2312"/>
          <w:bCs/>
          <w:sz w:val="30"/>
          <w:szCs w:val="30"/>
        </w:rPr>
        <w:t>可能与境内法律为境内投资者提供的保护存在差异。</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十八、红筹企业可以发行股票或存托凭证在科创板上市。存托凭证由存托人签发、以境外证券为基础在中国境内发行</w:t>
      </w:r>
      <w:r>
        <w:rPr>
          <w:rFonts w:ascii="仿宋_GB2312" w:eastAsia="仿宋_GB2312"/>
          <w:bCs/>
          <w:sz w:val="30"/>
          <w:szCs w:val="30"/>
        </w:rPr>
        <w:t>,</w:t>
      </w:r>
      <w:r>
        <w:rPr>
          <w:rFonts w:hint="eastAsia" w:ascii="仿宋_GB2312" w:eastAsia="仿宋_GB2312"/>
          <w:bCs/>
          <w:sz w:val="30"/>
          <w:szCs w:val="30"/>
        </w:rPr>
        <w:t>代表境外基础证券权益。红筹公司存托凭证持有人实际享有的权益与境外基础证券持有人的权益虽然基本相当</w:t>
      </w:r>
      <w:r>
        <w:rPr>
          <w:rFonts w:ascii="仿宋_GB2312" w:eastAsia="仿宋_GB2312"/>
          <w:bCs/>
          <w:sz w:val="30"/>
          <w:szCs w:val="30"/>
        </w:rPr>
        <w:t>,</w:t>
      </w:r>
      <w:r>
        <w:rPr>
          <w:rFonts w:hint="eastAsia" w:ascii="仿宋_GB2312" w:eastAsia="仿宋_GB2312"/>
          <w:bCs/>
          <w:sz w:val="30"/>
          <w:szCs w:val="30"/>
        </w:rPr>
        <w:t>但并不能等同于直接持有境外基础证券。投资者应当充分知悉存托协议和相关规则的具体内容，了解并接受在交易和持有红筹公司股票或存托凭证过程中可能存在的风险。</w:t>
      </w:r>
    </w:p>
    <w:p>
      <w:pPr>
        <w:spacing w:line="560" w:lineRule="exact"/>
        <w:ind w:firstLine="600" w:firstLineChars="200"/>
        <w:rPr>
          <w:rFonts w:ascii="仿宋_GB2312" w:eastAsia="仿宋_GB2312"/>
          <w:bCs/>
          <w:sz w:val="30"/>
          <w:szCs w:val="30"/>
        </w:rPr>
      </w:pPr>
      <w:r>
        <w:rPr>
          <w:rFonts w:hint="eastAsia" w:ascii="仿宋_GB2312" w:eastAsia="仿宋_GB2312"/>
          <w:bCs/>
          <w:sz w:val="30"/>
          <w:szCs w:val="30"/>
        </w:rPr>
        <w:t>十九、科创板股票相关法律、行政法规、部门规章、规范性文件（以下简称法律法规）和交易所业务规则，可能根据市场情况进行修改，或者制定新的法律法规和业务规则，投资者应当及时予以关注和了解。</w:t>
      </w:r>
    </w:p>
    <w:p>
      <w:pPr>
        <w:spacing w:line="560" w:lineRule="exact"/>
        <w:ind w:firstLine="602" w:firstLineChars="200"/>
        <w:rPr>
          <w:rFonts w:ascii="仿宋_GB2312" w:eastAsia="仿宋_GB2312"/>
          <w:b/>
          <w:sz w:val="30"/>
          <w:szCs w:val="30"/>
        </w:rPr>
      </w:pPr>
    </w:p>
    <w:p>
      <w:pPr>
        <w:spacing w:line="560" w:lineRule="exact"/>
        <w:ind w:firstLine="602" w:firstLineChars="200"/>
        <w:rPr>
          <w:rFonts w:ascii="仿宋_GB2312" w:eastAsia="仿宋_GB2312"/>
          <w:b/>
          <w:bCs/>
          <w:sz w:val="30"/>
          <w:szCs w:val="30"/>
        </w:rPr>
      </w:pPr>
      <w:r>
        <w:rPr>
          <w:rFonts w:hint="eastAsia" w:ascii="仿宋_GB2312" w:eastAsia="仿宋_GB2312"/>
          <w:b/>
          <w:bCs/>
          <w:sz w:val="30"/>
          <w:szCs w:val="30"/>
        </w:rPr>
        <w:t>本风险揭示书的揭示事项仅为列举性质，未能详尽列明科创板股票交易的所有风险，投资者在参与交易前，应当认真阅读有关法律法规和交易所业务规则等相关规定，对其他可能存在的风险因素也应当有所了解和掌握，并确信自己已做好足够的风险评估与财务安排，避免因参与科创板股票交易遭受难以承受的损失。</w:t>
      </w:r>
    </w:p>
    <w:p>
      <w:pPr>
        <w:spacing w:line="560" w:lineRule="exact"/>
        <w:ind w:firstLine="602" w:firstLineChars="200"/>
        <w:rPr>
          <w:rFonts w:ascii="仿宋_GB2312" w:eastAsia="仿宋_GB2312"/>
          <w:b/>
          <w:sz w:val="30"/>
          <w:szCs w:val="30"/>
        </w:rPr>
      </w:pPr>
    </w:p>
    <w:p>
      <w:pPr>
        <w:spacing w:line="560" w:lineRule="exact"/>
        <w:ind w:firstLine="602" w:firstLineChars="200"/>
        <w:rPr>
          <w:rFonts w:ascii="仿宋_GB2312" w:eastAsia="仿宋_GB2312"/>
          <w:b/>
          <w:bCs/>
          <w:sz w:val="30"/>
          <w:szCs w:val="30"/>
        </w:rPr>
      </w:pPr>
      <w:r>
        <w:rPr>
          <w:rFonts w:hint="eastAsia" w:ascii="仿宋_GB2312" w:eastAsia="仿宋_GB2312"/>
          <w:b/>
          <w:bCs/>
          <w:sz w:val="30"/>
          <w:szCs w:val="30"/>
        </w:rPr>
        <w:t>本人</w:t>
      </w:r>
      <w:r>
        <w:rPr>
          <w:rFonts w:ascii="仿宋_GB2312" w:eastAsia="仿宋_GB2312"/>
          <w:b/>
          <w:bCs/>
          <w:sz w:val="30"/>
          <w:szCs w:val="30"/>
        </w:rPr>
        <w:t>/</w:t>
      </w:r>
      <w:r>
        <w:rPr>
          <w:rFonts w:hint="eastAsia" w:ascii="仿宋_GB2312" w:eastAsia="仿宋_GB2312"/>
          <w:b/>
          <w:bCs/>
          <w:sz w:val="30"/>
          <w:szCs w:val="30"/>
        </w:rPr>
        <w:t>本机构已阅读并完全理解以上揭示的全部内容，并愿意自行承担参与科创板股票交易的风险和损失。</w:t>
      </w:r>
    </w:p>
    <w:p>
      <w:pPr>
        <w:spacing w:line="560" w:lineRule="exact"/>
        <w:ind w:firstLine="600" w:firstLineChars="200"/>
        <w:rPr>
          <w:rFonts w:ascii="仿宋_GB2312" w:eastAsia="仿宋_GB2312"/>
          <w:bCs/>
          <w:sz w:val="30"/>
          <w:szCs w:val="30"/>
        </w:rPr>
      </w:pPr>
    </w:p>
    <w:p>
      <w:pPr>
        <w:spacing w:line="560" w:lineRule="exact"/>
        <w:ind w:firstLine="600" w:firstLineChars="200"/>
        <w:rPr>
          <w:rFonts w:ascii="仿宋_GB2312" w:eastAsia="仿宋_GB2312"/>
          <w:bCs/>
          <w:sz w:val="30"/>
          <w:szCs w:val="30"/>
        </w:rPr>
      </w:pPr>
    </w:p>
    <w:p>
      <w:pPr>
        <w:spacing w:line="560" w:lineRule="exact"/>
        <w:ind w:firstLine="600" w:firstLineChars="200"/>
        <w:rPr>
          <w:rFonts w:ascii="仿宋_GB2312" w:eastAsia="仿宋_GB2312"/>
          <w:bCs/>
          <w:sz w:val="30"/>
          <w:szCs w:val="30"/>
        </w:rPr>
      </w:pPr>
    </w:p>
    <w:p>
      <w:pPr>
        <w:ind w:firstLine="567" w:firstLineChars="189"/>
        <w:rPr>
          <w:rFonts w:ascii="仿宋_GB2312" w:eastAsia="仿宋_GB2312"/>
          <w:bCs/>
          <w:sz w:val="30"/>
          <w:szCs w:val="30"/>
        </w:rPr>
      </w:pPr>
      <w:r>
        <w:rPr>
          <w:rFonts w:hint="eastAsia" w:ascii="仿宋_GB2312" w:eastAsia="仿宋_GB2312"/>
          <w:bCs/>
          <w:sz w:val="30"/>
          <w:szCs w:val="30"/>
        </w:rPr>
        <w:t>投资者（签字）：</w:t>
      </w:r>
    </w:p>
    <w:p>
      <w:pPr>
        <w:ind w:firstLine="567" w:firstLineChars="189"/>
        <w:rPr>
          <w:rFonts w:ascii="仿宋_GB2312" w:eastAsia="仿宋_GB2312"/>
          <w:bCs/>
          <w:sz w:val="30"/>
          <w:szCs w:val="30"/>
        </w:rPr>
      </w:pPr>
      <w:r>
        <w:rPr>
          <w:rFonts w:hint="eastAsia" w:ascii="仿宋_GB2312" w:eastAsia="仿宋_GB2312"/>
          <w:bCs/>
          <w:sz w:val="30"/>
          <w:szCs w:val="30"/>
        </w:rPr>
        <w:t>法定代表人（签章）或授权代理人（签字）：</w:t>
      </w:r>
    </w:p>
    <w:p>
      <w:pPr>
        <w:ind w:firstLine="567" w:firstLineChars="189"/>
        <w:rPr>
          <w:rFonts w:ascii="仿宋_GB2312" w:eastAsia="仿宋_GB2312"/>
          <w:bCs/>
          <w:sz w:val="30"/>
          <w:szCs w:val="30"/>
        </w:rPr>
      </w:pPr>
      <w:r>
        <w:rPr>
          <w:rFonts w:hint="eastAsia" w:ascii="仿宋_GB2312" w:eastAsia="仿宋_GB2312"/>
          <w:bCs/>
          <w:sz w:val="30"/>
          <w:szCs w:val="30"/>
        </w:rPr>
        <w:t>机构公章：</w:t>
      </w:r>
    </w:p>
    <w:p>
      <w:pPr>
        <w:ind w:firstLine="567" w:firstLineChars="189"/>
        <w:rPr>
          <w:rFonts w:ascii="仿宋_GB2312" w:eastAsia="仿宋_GB2312"/>
          <w:bCs/>
          <w:sz w:val="30"/>
          <w:szCs w:val="30"/>
        </w:rPr>
      </w:pPr>
    </w:p>
    <w:p>
      <w:pPr>
        <w:ind w:firstLine="567" w:firstLineChars="189"/>
        <w:rPr>
          <w:rFonts w:ascii="仿宋_GB2312" w:eastAsia="仿宋_GB2312"/>
          <w:bCs/>
          <w:sz w:val="30"/>
          <w:szCs w:val="30"/>
        </w:rPr>
      </w:pPr>
    </w:p>
    <w:p>
      <w:pPr>
        <w:ind w:firstLine="567" w:firstLineChars="189"/>
        <w:rPr>
          <w:rFonts w:ascii="仿宋_GB2312" w:eastAsia="仿宋_GB2312"/>
          <w:bCs/>
          <w:sz w:val="30"/>
          <w:szCs w:val="30"/>
        </w:rPr>
      </w:pPr>
    </w:p>
    <w:p>
      <w:pPr>
        <w:ind w:firstLine="567" w:firstLineChars="189"/>
        <w:rPr>
          <w:rFonts w:ascii="仿宋_GB2312" w:eastAsia="仿宋_GB2312"/>
          <w:bCs/>
          <w:sz w:val="30"/>
          <w:szCs w:val="30"/>
        </w:rPr>
      </w:pPr>
      <w:r>
        <w:rPr>
          <w:rFonts w:hint="eastAsia" w:ascii="仿宋_GB2312" w:eastAsia="仿宋_GB2312"/>
          <w:bCs/>
          <w:sz w:val="30"/>
          <w:szCs w:val="30"/>
        </w:rPr>
        <w:t>签署日期：</w:t>
      </w:r>
      <w:r>
        <w:rPr>
          <w:rFonts w:ascii="仿宋_GB2312" w:eastAsia="仿宋_GB2312"/>
          <w:bCs/>
          <w:sz w:val="30"/>
          <w:szCs w:val="30"/>
        </w:rPr>
        <w:t xml:space="preserve">       </w:t>
      </w:r>
      <w:r>
        <w:rPr>
          <w:rFonts w:hint="eastAsia" w:ascii="仿宋_GB2312" w:eastAsia="仿宋_GB2312"/>
          <w:bCs/>
          <w:sz w:val="30"/>
          <w:szCs w:val="30"/>
        </w:rPr>
        <w:t>年</w:t>
      </w:r>
      <w:r>
        <w:rPr>
          <w:rFonts w:ascii="仿宋_GB2312" w:eastAsia="仿宋_GB2312"/>
          <w:bCs/>
          <w:sz w:val="30"/>
          <w:szCs w:val="30"/>
        </w:rPr>
        <w:t xml:space="preserve">    </w:t>
      </w:r>
      <w:r>
        <w:rPr>
          <w:rFonts w:hint="eastAsia" w:ascii="仿宋_GB2312" w:eastAsia="仿宋_GB2312"/>
          <w:bCs/>
          <w:sz w:val="30"/>
          <w:szCs w:val="30"/>
        </w:rPr>
        <w:t>月</w:t>
      </w:r>
      <w:r>
        <w:rPr>
          <w:rFonts w:ascii="仿宋_GB2312" w:eastAsia="仿宋_GB2312"/>
          <w:bCs/>
          <w:sz w:val="30"/>
          <w:szCs w:val="30"/>
        </w:rPr>
        <w:t xml:space="preserve">   </w:t>
      </w:r>
      <w:r>
        <w:rPr>
          <w:rFonts w:hint="eastAsia" w:ascii="仿宋_GB2312" w:eastAsia="仿宋_GB2312"/>
          <w:bCs/>
          <w:sz w:val="30"/>
          <w:szCs w:val="30"/>
        </w:rPr>
        <w:t>日</w:t>
      </w:r>
    </w:p>
    <w:p>
      <w:pPr>
        <w:rPr>
          <w:rFonts w:ascii="华文中宋" w:eastAsia="华文中宋"/>
          <w:sz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jc w:val="left"/>
      <w:rPr>
        <w:sz w:val="20"/>
      </w:rPr>
    </w:pPr>
    <w:r>
      <mc:AlternateContent>
        <mc:Choice Requires="wps">
          <w:drawing>
            <wp:anchor distT="0" distB="0" distL="114300" distR="114300" simplePos="0" relativeHeight="503313408" behindDoc="1" locked="0" layoutInCell="1" allowOverlap="1">
              <wp:simplePos x="0" y="0"/>
              <wp:positionH relativeFrom="page">
                <wp:posOffset>3707765</wp:posOffset>
              </wp:positionH>
              <wp:positionV relativeFrom="page">
                <wp:posOffset>9829800</wp:posOffset>
              </wp:positionV>
              <wp:extent cx="146050"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 cy="215900"/>
                      </a:xfrm>
                      <a:prstGeom prst="rect">
                        <a:avLst/>
                      </a:prstGeom>
                      <a:noFill/>
                      <a:ln>
                        <a:noFill/>
                      </a:ln>
                    </wps:spPr>
                    <wps:txbx>
                      <w:txbxContent>
                        <w:p>
                          <w:pPr>
                            <w:pStyle w:val="2"/>
                            <w:spacing w:line="320" w:lineRule="exact"/>
                            <w:ind w:left="40" w:firstLine="0"/>
                            <w:jc w:val="left"/>
                          </w:pPr>
                          <w:r>
                            <w:fldChar w:fldCharType="begin"/>
                          </w:r>
                          <w: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95pt;margin-top:774pt;height:17pt;width:11.5pt;mso-position-horizontal-relative:page;mso-position-vertical-relative:page;z-index:-3072;mso-width-relative:page;mso-height-relative:page;" filled="f" stroked="f" coordsize="21600,21600" o:gfxdata="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7jhu2gAAAA0BAAAPAAAAAAAA&#10;AAEAIAAAACIAAABkcnMvZG93bnJldi54bWxQSwECFAAUAAAACACHTuJAuRObb54BAAAjAwAADgAA&#10;AAAAAAABACAAAAApAQAAZHJzL2Uyb0RvYy54bWxQSwUGAAAAAAYABgBZAQAAOQUAAAAA&#10;">
              <v:fill on="f" focussize="0,0"/>
              <v:stroke on="f"/>
              <v:imagedata o:title=""/>
              <o:lock v:ext="edit" aspectratio="f"/>
              <v:textbox inset="0mm,0mm,0mm,0mm">
                <w:txbxContent>
                  <w:p>
                    <w:pPr>
                      <w:pStyle w:val="2"/>
                      <w:spacing w:line="320" w:lineRule="exact"/>
                      <w:ind w:left="40" w:firstLine="0"/>
                      <w:jc w:val="left"/>
                    </w:pPr>
                    <w:r>
                      <w:fldChar w:fldCharType="begin"/>
                    </w:r>
                    <w: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63F6E"/>
    <w:rsid w:val="000866F6"/>
    <w:rsid w:val="0024776D"/>
    <w:rsid w:val="002924BE"/>
    <w:rsid w:val="00386B64"/>
    <w:rsid w:val="003F4378"/>
    <w:rsid w:val="00417410"/>
    <w:rsid w:val="00576D83"/>
    <w:rsid w:val="00592472"/>
    <w:rsid w:val="00825FFC"/>
    <w:rsid w:val="00A35857"/>
    <w:rsid w:val="00B83B48"/>
    <w:rsid w:val="00D67329"/>
    <w:rsid w:val="00E62C11"/>
    <w:rsid w:val="00F775D4"/>
    <w:rsid w:val="016E050F"/>
    <w:rsid w:val="04631885"/>
    <w:rsid w:val="065C2468"/>
    <w:rsid w:val="06CE6C0A"/>
    <w:rsid w:val="084A4D02"/>
    <w:rsid w:val="090204E9"/>
    <w:rsid w:val="09D74846"/>
    <w:rsid w:val="0AAB449D"/>
    <w:rsid w:val="0CC20F57"/>
    <w:rsid w:val="0CE85DC1"/>
    <w:rsid w:val="0CF465F1"/>
    <w:rsid w:val="0F9E60E3"/>
    <w:rsid w:val="103E4D41"/>
    <w:rsid w:val="10906E3A"/>
    <w:rsid w:val="13813C28"/>
    <w:rsid w:val="13C62BA6"/>
    <w:rsid w:val="15170D19"/>
    <w:rsid w:val="171876A7"/>
    <w:rsid w:val="18783D8C"/>
    <w:rsid w:val="1AAC6329"/>
    <w:rsid w:val="1B6B1117"/>
    <w:rsid w:val="1F1F3305"/>
    <w:rsid w:val="1F427588"/>
    <w:rsid w:val="2015766B"/>
    <w:rsid w:val="21FD42B5"/>
    <w:rsid w:val="249A35D1"/>
    <w:rsid w:val="25C73FC3"/>
    <w:rsid w:val="27F476BA"/>
    <w:rsid w:val="28CE2B61"/>
    <w:rsid w:val="295E5D7E"/>
    <w:rsid w:val="29902278"/>
    <w:rsid w:val="2B3E1C9E"/>
    <w:rsid w:val="2DAA7EDE"/>
    <w:rsid w:val="2EC167BC"/>
    <w:rsid w:val="2F5C41E4"/>
    <w:rsid w:val="30F71CB9"/>
    <w:rsid w:val="30F9495D"/>
    <w:rsid w:val="31C95F20"/>
    <w:rsid w:val="32154F68"/>
    <w:rsid w:val="3242490B"/>
    <w:rsid w:val="349A251A"/>
    <w:rsid w:val="34A86C47"/>
    <w:rsid w:val="370B1951"/>
    <w:rsid w:val="399A68FD"/>
    <w:rsid w:val="3A6C5297"/>
    <w:rsid w:val="3CF63F6E"/>
    <w:rsid w:val="407C23F6"/>
    <w:rsid w:val="413E0C2D"/>
    <w:rsid w:val="43494FFD"/>
    <w:rsid w:val="43AC777C"/>
    <w:rsid w:val="44EE1BED"/>
    <w:rsid w:val="44F23782"/>
    <w:rsid w:val="45870C79"/>
    <w:rsid w:val="47062DA2"/>
    <w:rsid w:val="48E92587"/>
    <w:rsid w:val="493F4FAF"/>
    <w:rsid w:val="496170FB"/>
    <w:rsid w:val="4B1C14EB"/>
    <w:rsid w:val="4B35450F"/>
    <w:rsid w:val="4B4F63D6"/>
    <w:rsid w:val="4D7720CB"/>
    <w:rsid w:val="53FF62A3"/>
    <w:rsid w:val="546B5994"/>
    <w:rsid w:val="55EF11FA"/>
    <w:rsid w:val="5BB71AE7"/>
    <w:rsid w:val="5FB11316"/>
    <w:rsid w:val="608455D8"/>
    <w:rsid w:val="60C84B80"/>
    <w:rsid w:val="614A114C"/>
    <w:rsid w:val="61BD1238"/>
    <w:rsid w:val="64BB7F9F"/>
    <w:rsid w:val="65942913"/>
    <w:rsid w:val="668D6F8C"/>
    <w:rsid w:val="66BA3155"/>
    <w:rsid w:val="673A2785"/>
    <w:rsid w:val="67637C05"/>
    <w:rsid w:val="69926FB5"/>
    <w:rsid w:val="6C1C61F8"/>
    <w:rsid w:val="6C5058F6"/>
    <w:rsid w:val="6FE31B4D"/>
    <w:rsid w:val="703442C4"/>
    <w:rsid w:val="713C6511"/>
    <w:rsid w:val="73FB5DF6"/>
    <w:rsid w:val="77C84345"/>
    <w:rsid w:val="78771E0E"/>
    <w:rsid w:val="790E16D3"/>
    <w:rsid w:val="7C6F6665"/>
    <w:rsid w:val="7F43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8" w:firstLine="599"/>
    </w:pPr>
    <w:rPr>
      <w:rFonts w:ascii="宋体" w:hAnsi="宋体" w:eastAsia="宋体" w:cs="宋体"/>
      <w:sz w:val="30"/>
      <w:szCs w:val="30"/>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heme="minorHAnsi" w:hAnsiTheme="minorHAnsi" w:eastAsiaTheme="minorEastAsia" w:cstheme="minorBidi"/>
      <w:kern w:val="2"/>
      <w:sz w:val="18"/>
      <w:szCs w:val="18"/>
    </w:rPr>
  </w:style>
  <w:style w:type="character" w:customStyle="1" w:styleId="9">
    <w:name w:val="页脚 Char"/>
    <w:basedOn w:val="6"/>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385</Words>
  <Characters>2198</Characters>
  <Lines>18</Lines>
  <Paragraphs>5</Paragraphs>
  <TotalTime>71</TotalTime>
  <ScaleCrop>false</ScaleCrop>
  <LinksUpToDate>false</LinksUpToDate>
  <CharactersWithSpaces>2578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2019-03-11T01:01:00Z</dcterms:created>
  <dc:creator>开源证券 马星卉</dc:creator>
  <cp:lastModifiedBy>Administrator</cp:lastModifiedBy>
  <cp:lastPrinted>2019-03-11T09:53:00Z</cp:lastPrinted>
  <dcterms:modified xsi:type="dcterms:W3CDTF">2019-03-13T06:56:40Z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