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8C96A" w14:textId="77777777" w:rsidR="00DB55D3" w:rsidRDefault="00C36852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*ST雏鹰退市整理期交易公开信息</w:t>
      </w:r>
    </w:p>
    <w:p w14:paraId="4713ADDE" w14:textId="77777777" w:rsidR="00DB55D3" w:rsidRDefault="00DB55D3">
      <w:pPr>
        <w:rPr>
          <w:rFonts w:ascii="仿宋_GB2312" w:eastAsia="仿宋_GB2312" w:hAnsi="宋体"/>
          <w:sz w:val="24"/>
          <w:szCs w:val="24"/>
        </w:rPr>
      </w:pPr>
    </w:p>
    <w:p w14:paraId="5901E6A1" w14:textId="77777777" w:rsidR="00DB55D3" w:rsidRDefault="00C36852">
      <w:pPr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尊敬的投资者：</w:t>
      </w:r>
    </w:p>
    <w:p w14:paraId="38F9852E" w14:textId="77777777" w:rsidR="00DB55D3" w:rsidRDefault="00C36852">
      <w:pPr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雏鹰农牧集团股份有限公司由于2019年7月5日至2019年8月1日，公司股票通过深圳证券交易所交易系统连续20个交易日的每日收盘价均低于股票面值（1元）。2019年8月19日，深圳证券交易所决定公司股票终止上市。公司于2019年8月19日收到深圳证券交易所《关于雏鹰农牧集团股份有限公司股票终止上市的决定》（深证上[2019]484号），并于2019年8月19日，发布《雏鹰农牧集团股份有限公司关于公司股票终止上市的公告》。</w:t>
      </w:r>
    </w:p>
    <w:p w14:paraId="5777159E" w14:textId="77777777" w:rsidR="00DB55D3" w:rsidRDefault="00C36852">
      <w:pPr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根据《深圳证券交易所股票上市规则》，该公司股票（股票简称“*ST雏鹰”，股票代码002477）自2019年8月27日起进入退市整理期交易，退市整理期为30个交易日，公司证券简称变更为“雏鹰退”，公司证券代码维持不变，股票价格的日涨跌幅限制为10%，预计最后交易日期为2019年10月15日。公司股票在退市整理期间的全天停牌不计入退市整理期。公司因特殊原因向深圳证券交易所申请股票全天停牌的，累计停牌天数不超过五个交易日。退市整理期届满的次一交易日，深圳证券交易所对该公司股票予以摘牌。</w:t>
      </w:r>
    </w:p>
    <w:p w14:paraId="0E853B6C" w14:textId="012DC298" w:rsidR="00DB55D3" w:rsidRDefault="00C36852">
      <w:pPr>
        <w:ind w:firstLineChars="200" w:firstLine="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4"/>
          <w:szCs w:val="24"/>
        </w:rPr>
        <w:t>截止2019年</w:t>
      </w:r>
      <w:r w:rsidR="00DD5627">
        <w:rPr>
          <w:rFonts w:ascii="仿宋_GB2312" w:eastAsia="仿宋_GB2312" w:hAnsi="宋体"/>
          <w:sz w:val="24"/>
          <w:szCs w:val="24"/>
        </w:rPr>
        <w:t>9</w:t>
      </w:r>
      <w:r>
        <w:rPr>
          <w:rFonts w:ascii="仿宋_GB2312" w:eastAsia="仿宋_GB2312" w:hAnsi="宋体" w:hint="eastAsia"/>
          <w:sz w:val="24"/>
          <w:szCs w:val="24"/>
        </w:rPr>
        <w:t>月</w:t>
      </w:r>
      <w:r w:rsidR="004E0D71">
        <w:rPr>
          <w:rFonts w:ascii="仿宋_GB2312" w:eastAsia="仿宋_GB2312" w:hAnsi="宋体"/>
          <w:sz w:val="24"/>
          <w:szCs w:val="24"/>
        </w:rPr>
        <w:t>4</w:t>
      </w:r>
      <w:r>
        <w:rPr>
          <w:rFonts w:ascii="仿宋_GB2312" w:eastAsia="仿宋_GB2312" w:hAnsi="宋体" w:hint="eastAsia"/>
          <w:sz w:val="24"/>
          <w:szCs w:val="24"/>
        </w:rPr>
        <w:t>日（含</w:t>
      </w:r>
      <w:r w:rsidR="004E0D71">
        <w:rPr>
          <w:rFonts w:ascii="仿宋_GB2312" w:eastAsia="仿宋_GB2312" w:hAnsi="宋体"/>
          <w:sz w:val="24"/>
          <w:szCs w:val="24"/>
        </w:rPr>
        <w:t>4</w:t>
      </w:r>
      <w:r>
        <w:rPr>
          <w:rFonts w:ascii="仿宋_GB2312" w:eastAsia="仿宋_GB2312" w:hAnsi="宋体" w:hint="eastAsia"/>
          <w:sz w:val="24"/>
          <w:szCs w:val="24"/>
        </w:rPr>
        <w:t>日），该股票已交易</w:t>
      </w:r>
      <w:r w:rsidR="004E0D71">
        <w:rPr>
          <w:rFonts w:ascii="仿宋_GB2312" w:eastAsia="仿宋_GB2312" w:hAnsi="宋体"/>
          <w:sz w:val="24"/>
          <w:szCs w:val="24"/>
        </w:rPr>
        <w:t>7</w:t>
      </w:r>
      <w:r>
        <w:rPr>
          <w:rFonts w:ascii="仿宋_GB2312" w:eastAsia="仿宋_GB2312" w:hAnsi="宋体" w:hint="eastAsia"/>
          <w:sz w:val="24"/>
          <w:szCs w:val="24"/>
        </w:rPr>
        <w:t>个交易日，剩余2</w:t>
      </w:r>
      <w:r w:rsidR="004E0D71">
        <w:rPr>
          <w:rFonts w:ascii="仿宋_GB2312" w:eastAsia="仿宋_GB2312" w:hAnsi="宋体"/>
          <w:sz w:val="24"/>
          <w:szCs w:val="24"/>
        </w:rPr>
        <w:t>3</w:t>
      </w:r>
      <w:r>
        <w:rPr>
          <w:rFonts w:ascii="仿宋_GB2312" w:eastAsia="仿宋_GB2312" w:hAnsi="宋体" w:hint="eastAsia"/>
          <w:sz w:val="24"/>
          <w:szCs w:val="24"/>
        </w:rPr>
        <w:t>个交易日。</w:t>
      </w:r>
      <w:r w:rsidR="00DD5627">
        <w:rPr>
          <w:rFonts w:ascii="仿宋_GB2312" w:eastAsia="仿宋_GB2312" w:hAnsi="宋体"/>
          <w:sz w:val="24"/>
          <w:szCs w:val="24"/>
        </w:rPr>
        <w:t>9</w:t>
      </w:r>
      <w:r>
        <w:rPr>
          <w:rFonts w:ascii="仿宋_GB2312" w:eastAsia="仿宋_GB2312" w:hAnsi="宋体" w:hint="eastAsia"/>
          <w:sz w:val="24"/>
          <w:szCs w:val="24"/>
        </w:rPr>
        <w:t>月</w:t>
      </w:r>
      <w:r w:rsidR="004E0D71">
        <w:rPr>
          <w:rFonts w:ascii="仿宋_GB2312" w:eastAsia="仿宋_GB2312" w:hAnsi="宋体"/>
          <w:sz w:val="24"/>
          <w:szCs w:val="24"/>
        </w:rPr>
        <w:t>4</w:t>
      </w:r>
      <w:r>
        <w:rPr>
          <w:rFonts w:ascii="仿宋_GB2312" w:eastAsia="仿宋_GB2312" w:hAnsi="宋体" w:hint="eastAsia"/>
          <w:sz w:val="24"/>
          <w:szCs w:val="24"/>
        </w:rPr>
        <w:t>日买入、卖出金额最大的</w:t>
      </w:r>
      <w:r w:rsidRPr="00C36852">
        <w:rPr>
          <w:rFonts w:ascii="仿宋_GB2312" w:eastAsia="仿宋_GB2312" w:hAnsi="宋体" w:hint="eastAsia"/>
          <w:sz w:val="24"/>
          <w:szCs w:val="24"/>
        </w:rPr>
        <w:t>五家证券营业部</w:t>
      </w:r>
      <w:r>
        <w:rPr>
          <w:rFonts w:ascii="仿宋_GB2312" w:eastAsia="仿宋_GB2312" w:hAnsi="宋体" w:hint="eastAsia"/>
          <w:sz w:val="24"/>
          <w:szCs w:val="24"/>
        </w:rPr>
        <w:t>情况信息如下：</w:t>
      </w:r>
    </w:p>
    <w:p w14:paraId="28455CBA" w14:textId="77777777" w:rsidR="00DB55D3" w:rsidRDefault="00DB55D3">
      <w:pPr>
        <w:jc w:val="center"/>
        <w:rPr>
          <w:rFonts w:ascii="仿宋_GB2312" w:eastAsia="仿宋_GB2312"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369"/>
        <w:gridCol w:w="2268"/>
      </w:tblGrid>
      <w:tr w:rsidR="00DB55D3" w14:paraId="5FF98D9D" w14:textId="77777777">
        <w:tc>
          <w:tcPr>
            <w:tcW w:w="2130" w:type="dxa"/>
          </w:tcPr>
          <w:p w14:paraId="080311C8" w14:textId="77777777" w:rsidR="00DB55D3" w:rsidRDefault="00C368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证券代码</w:t>
            </w:r>
          </w:p>
        </w:tc>
        <w:tc>
          <w:tcPr>
            <w:tcW w:w="2130" w:type="dxa"/>
          </w:tcPr>
          <w:p w14:paraId="78CDE0B2" w14:textId="77777777" w:rsidR="00DB55D3" w:rsidRDefault="00C368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证券简称</w:t>
            </w:r>
          </w:p>
        </w:tc>
        <w:tc>
          <w:tcPr>
            <w:tcW w:w="2369" w:type="dxa"/>
            <w:vAlign w:val="center"/>
          </w:tcPr>
          <w:p w14:paraId="0D3211F7" w14:textId="77777777" w:rsidR="00DB55D3" w:rsidRDefault="00C368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成交量（万股）</w:t>
            </w:r>
          </w:p>
        </w:tc>
        <w:tc>
          <w:tcPr>
            <w:tcW w:w="2268" w:type="dxa"/>
            <w:vAlign w:val="center"/>
          </w:tcPr>
          <w:p w14:paraId="54E7E99A" w14:textId="77777777" w:rsidR="00DB55D3" w:rsidRDefault="00C368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成交金额（万元）</w:t>
            </w:r>
          </w:p>
        </w:tc>
      </w:tr>
      <w:tr w:rsidR="00DB55D3" w14:paraId="49426C8B" w14:textId="77777777">
        <w:tc>
          <w:tcPr>
            <w:tcW w:w="2130" w:type="dxa"/>
          </w:tcPr>
          <w:p w14:paraId="03BAA39E" w14:textId="77777777" w:rsidR="00DB55D3" w:rsidRDefault="00C368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002477</w:t>
            </w:r>
          </w:p>
        </w:tc>
        <w:tc>
          <w:tcPr>
            <w:tcW w:w="2130" w:type="dxa"/>
          </w:tcPr>
          <w:p w14:paraId="2A23A73C" w14:textId="77777777" w:rsidR="00DB55D3" w:rsidRDefault="00C368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雏鹰退</w:t>
            </w:r>
          </w:p>
        </w:tc>
        <w:tc>
          <w:tcPr>
            <w:tcW w:w="2369" w:type="dxa"/>
            <w:vAlign w:val="center"/>
          </w:tcPr>
          <w:p w14:paraId="34D38389" w14:textId="67144E24" w:rsidR="00DB55D3" w:rsidRDefault="004E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0D71">
              <w:rPr>
                <w:rFonts w:ascii="仿宋_GB2312" w:eastAsia="仿宋_GB2312"/>
                <w:sz w:val="24"/>
                <w:szCs w:val="24"/>
              </w:rPr>
              <w:t>3385600</w:t>
            </w:r>
          </w:p>
        </w:tc>
        <w:tc>
          <w:tcPr>
            <w:tcW w:w="2268" w:type="dxa"/>
            <w:vAlign w:val="center"/>
          </w:tcPr>
          <w:p w14:paraId="3169F756" w14:textId="69A79C77" w:rsidR="00DB55D3" w:rsidRDefault="004E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0D71">
              <w:rPr>
                <w:rFonts w:ascii="仿宋_GB2312" w:eastAsia="仿宋_GB2312"/>
                <w:sz w:val="24"/>
                <w:szCs w:val="24"/>
              </w:rPr>
              <w:t>1117248.00</w:t>
            </w:r>
          </w:p>
        </w:tc>
      </w:tr>
    </w:tbl>
    <w:p w14:paraId="144AE338" w14:textId="77777777" w:rsidR="00DB55D3" w:rsidRDefault="00DB55D3">
      <w:pPr>
        <w:rPr>
          <w:rFonts w:ascii="仿宋_GB2312" w:eastAsia="仿宋_GB2312"/>
          <w:sz w:val="24"/>
          <w:szCs w:val="24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6577"/>
        <w:gridCol w:w="1605"/>
      </w:tblGrid>
      <w:tr w:rsidR="00DB55D3" w14:paraId="65D64CDA" w14:textId="77777777">
        <w:trPr>
          <w:trHeight w:val="629"/>
        </w:trPr>
        <w:tc>
          <w:tcPr>
            <w:tcW w:w="744" w:type="dxa"/>
            <w:vAlign w:val="center"/>
          </w:tcPr>
          <w:p w14:paraId="17FBA334" w14:textId="77777777" w:rsidR="00DB55D3" w:rsidRDefault="00C368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6577" w:type="dxa"/>
            <w:vAlign w:val="center"/>
          </w:tcPr>
          <w:p w14:paraId="2BB0BCC9" w14:textId="77777777" w:rsidR="00DB55D3" w:rsidRDefault="00C368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买入营业部名称</w:t>
            </w:r>
          </w:p>
        </w:tc>
        <w:tc>
          <w:tcPr>
            <w:tcW w:w="1605" w:type="dxa"/>
            <w:vAlign w:val="center"/>
          </w:tcPr>
          <w:p w14:paraId="36473C05" w14:textId="77777777" w:rsidR="00DB55D3" w:rsidRDefault="00C368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买入金额(元)</w:t>
            </w:r>
          </w:p>
        </w:tc>
      </w:tr>
      <w:tr w:rsidR="00DB55D3" w14:paraId="3E4D6DB8" w14:textId="77777777">
        <w:trPr>
          <w:trHeight w:val="537"/>
        </w:trPr>
        <w:tc>
          <w:tcPr>
            <w:tcW w:w="744" w:type="dxa"/>
            <w:vAlign w:val="center"/>
          </w:tcPr>
          <w:p w14:paraId="694F3A82" w14:textId="77777777" w:rsidR="00DB55D3" w:rsidRDefault="00C368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6577" w:type="dxa"/>
            <w:vAlign w:val="center"/>
          </w:tcPr>
          <w:p w14:paraId="1F847BF9" w14:textId="322BB8C8" w:rsidR="00DB55D3" w:rsidRPr="004E0D71" w:rsidRDefault="004E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0D71">
              <w:rPr>
                <w:rFonts w:ascii="仿宋_GB2312" w:eastAsia="仿宋_GB2312" w:hint="eastAsia"/>
                <w:sz w:val="24"/>
                <w:szCs w:val="24"/>
              </w:rPr>
              <w:t>方正证券股份有限公司金华光南路证券营业部</w:t>
            </w:r>
          </w:p>
        </w:tc>
        <w:tc>
          <w:tcPr>
            <w:tcW w:w="1605" w:type="dxa"/>
            <w:vAlign w:val="center"/>
          </w:tcPr>
          <w:p w14:paraId="3894C4C4" w14:textId="489AF0E7" w:rsidR="00DB55D3" w:rsidRDefault="004E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471900</w:t>
            </w:r>
            <w:r w:rsidR="00C36852">
              <w:rPr>
                <w:rFonts w:ascii="仿宋_GB2312" w:eastAsia="仿宋_GB2312" w:hint="eastAsia"/>
                <w:sz w:val="24"/>
                <w:szCs w:val="24"/>
              </w:rPr>
              <w:t xml:space="preserve">.00                             </w:t>
            </w:r>
          </w:p>
        </w:tc>
      </w:tr>
      <w:tr w:rsidR="00DB55D3" w14:paraId="0EF15401" w14:textId="77777777">
        <w:trPr>
          <w:trHeight w:val="512"/>
        </w:trPr>
        <w:tc>
          <w:tcPr>
            <w:tcW w:w="744" w:type="dxa"/>
            <w:vAlign w:val="center"/>
          </w:tcPr>
          <w:p w14:paraId="3B76EF81" w14:textId="77777777" w:rsidR="00DB55D3" w:rsidRDefault="00C368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6577" w:type="dxa"/>
            <w:vAlign w:val="center"/>
          </w:tcPr>
          <w:p w14:paraId="5CCF0286" w14:textId="60FD8465" w:rsidR="00DB55D3" w:rsidRPr="00DD5627" w:rsidRDefault="004E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0D71">
              <w:rPr>
                <w:rFonts w:ascii="仿宋_GB2312" w:eastAsia="仿宋_GB2312" w:hint="eastAsia"/>
                <w:sz w:val="24"/>
                <w:szCs w:val="24"/>
              </w:rPr>
              <w:t>中国中投证券有限责任公司南通如东青园北路证券营业部</w:t>
            </w:r>
          </w:p>
        </w:tc>
        <w:tc>
          <w:tcPr>
            <w:tcW w:w="1605" w:type="dxa"/>
            <w:vAlign w:val="center"/>
          </w:tcPr>
          <w:p w14:paraId="0CA0C6A5" w14:textId="77E0441A" w:rsidR="00DB55D3" w:rsidRDefault="004E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1650</w:t>
            </w:r>
            <w:r w:rsidR="008E4C29">
              <w:rPr>
                <w:rFonts w:ascii="仿宋_GB2312" w:eastAsia="仿宋_GB2312"/>
                <w:sz w:val="24"/>
                <w:szCs w:val="24"/>
              </w:rPr>
              <w:t>00</w:t>
            </w:r>
            <w:r w:rsidR="00C36852">
              <w:rPr>
                <w:rFonts w:ascii="仿宋_GB2312" w:eastAsia="仿宋_GB2312" w:hint="eastAsia"/>
                <w:sz w:val="24"/>
                <w:szCs w:val="24"/>
              </w:rPr>
              <w:t xml:space="preserve">.00                                          </w:t>
            </w:r>
          </w:p>
        </w:tc>
      </w:tr>
      <w:tr w:rsidR="00DB55D3" w14:paraId="09D4B487" w14:textId="77777777">
        <w:trPr>
          <w:trHeight w:val="557"/>
        </w:trPr>
        <w:tc>
          <w:tcPr>
            <w:tcW w:w="744" w:type="dxa"/>
            <w:vAlign w:val="center"/>
          </w:tcPr>
          <w:p w14:paraId="5B305658" w14:textId="77777777" w:rsidR="00DB55D3" w:rsidRDefault="00C368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6577" w:type="dxa"/>
            <w:vAlign w:val="center"/>
          </w:tcPr>
          <w:p w14:paraId="686D5FB5" w14:textId="1B530460" w:rsidR="00DB55D3" w:rsidRPr="008E4C29" w:rsidRDefault="004E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0D71">
              <w:rPr>
                <w:rFonts w:ascii="仿宋_GB2312" w:eastAsia="仿宋_GB2312" w:hint="eastAsia"/>
                <w:sz w:val="24"/>
                <w:szCs w:val="24"/>
              </w:rPr>
              <w:t>中信证券股份有限公司上海世纪大道证券营业部</w:t>
            </w:r>
          </w:p>
        </w:tc>
        <w:tc>
          <w:tcPr>
            <w:tcW w:w="1605" w:type="dxa"/>
            <w:vAlign w:val="center"/>
          </w:tcPr>
          <w:p w14:paraId="46FD989E" w14:textId="0EE7A233" w:rsidR="00DB55D3" w:rsidRDefault="004E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99</w:t>
            </w:r>
            <w:r w:rsidR="008E4C29">
              <w:rPr>
                <w:rFonts w:ascii="仿宋_GB2312" w:eastAsia="仿宋_GB2312"/>
                <w:sz w:val="24"/>
                <w:szCs w:val="24"/>
              </w:rPr>
              <w:t>0</w:t>
            </w:r>
            <w:r w:rsidR="00C36852">
              <w:rPr>
                <w:rFonts w:ascii="仿宋_GB2312" w:eastAsia="仿宋_GB2312"/>
                <w:sz w:val="24"/>
                <w:szCs w:val="24"/>
              </w:rPr>
              <w:t>00</w:t>
            </w:r>
            <w:r w:rsidR="00C36852">
              <w:rPr>
                <w:rFonts w:ascii="仿宋_GB2312" w:eastAsia="仿宋_GB2312" w:hint="eastAsia"/>
                <w:sz w:val="24"/>
                <w:szCs w:val="24"/>
              </w:rPr>
              <w:t xml:space="preserve">.00                              </w:t>
            </w:r>
          </w:p>
        </w:tc>
      </w:tr>
      <w:tr w:rsidR="00C36852" w14:paraId="4A3DACBB" w14:textId="77777777">
        <w:trPr>
          <w:trHeight w:val="557"/>
        </w:trPr>
        <w:tc>
          <w:tcPr>
            <w:tcW w:w="744" w:type="dxa"/>
            <w:vAlign w:val="center"/>
          </w:tcPr>
          <w:p w14:paraId="401E4B53" w14:textId="77777777" w:rsidR="00C36852" w:rsidRDefault="00C368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6577" w:type="dxa"/>
            <w:vAlign w:val="center"/>
          </w:tcPr>
          <w:p w14:paraId="653C9667" w14:textId="145BF396" w:rsidR="00C36852" w:rsidRPr="004E0D71" w:rsidRDefault="004E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0D71">
              <w:rPr>
                <w:rFonts w:ascii="仿宋_GB2312" w:eastAsia="仿宋_GB2312" w:hint="eastAsia"/>
                <w:sz w:val="24"/>
                <w:szCs w:val="24"/>
              </w:rPr>
              <w:t>招商证券股份有限公司武汉中北路证券营业部</w:t>
            </w:r>
          </w:p>
        </w:tc>
        <w:tc>
          <w:tcPr>
            <w:tcW w:w="1605" w:type="dxa"/>
            <w:vAlign w:val="center"/>
          </w:tcPr>
          <w:p w14:paraId="6062D2CB" w14:textId="44C9F229" w:rsidR="00C36852" w:rsidRDefault="004E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49500</w:t>
            </w:r>
            <w:r w:rsidR="00C36852">
              <w:rPr>
                <w:rFonts w:ascii="仿宋_GB2312" w:eastAsia="仿宋_GB2312"/>
                <w:sz w:val="24"/>
                <w:szCs w:val="24"/>
              </w:rPr>
              <w:t>.00</w:t>
            </w:r>
          </w:p>
        </w:tc>
      </w:tr>
      <w:tr w:rsidR="00C36852" w14:paraId="618324B2" w14:textId="77777777">
        <w:trPr>
          <w:trHeight w:val="557"/>
        </w:trPr>
        <w:tc>
          <w:tcPr>
            <w:tcW w:w="744" w:type="dxa"/>
            <w:vAlign w:val="center"/>
          </w:tcPr>
          <w:p w14:paraId="3B186CDB" w14:textId="77777777" w:rsidR="00C36852" w:rsidRDefault="00C368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6577" w:type="dxa"/>
            <w:vAlign w:val="center"/>
          </w:tcPr>
          <w:p w14:paraId="3314EF1E" w14:textId="3B8CEEDA" w:rsidR="00C36852" w:rsidRPr="004E0D71" w:rsidRDefault="004E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0D71">
              <w:rPr>
                <w:rFonts w:ascii="仿宋_GB2312" w:eastAsia="仿宋_GB2312" w:hint="eastAsia"/>
                <w:sz w:val="24"/>
                <w:szCs w:val="24"/>
              </w:rPr>
              <w:t>中国中投证券有限责任公司南京太平南路证券营业部</w:t>
            </w:r>
          </w:p>
        </w:tc>
        <w:tc>
          <w:tcPr>
            <w:tcW w:w="1605" w:type="dxa"/>
            <w:vAlign w:val="center"/>
          </w:tcPr>
          <w:p w14:paraId="45261868" w14:textId="764D5AD8" w:rsidR="00C36852" w:rsidRDefault="004E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49467</w:t>
            </w:r>
            <w:r w:rsidR="00C36852">
              <w:rPr>
                <w:rFonts w:ascii="仿宋_GB2312" w:eastAsia="仿宋_GB2312"/>
                <w:sz w:val="24"/>
                <w:szCs w:val="24"/>
              </w:rPr>
              <w:t>.00</w:t>
            </w:r>
          </w:p>
        </w:tc>
      </w:tr>
    </w:tbl>
    <w:p w14:paraId="7F23B579" w14:textId="77777777" w:rsidR="00DB55D3" w:rsidRDefault="00DB55D3">
      <w:pPr>
        <w:jc w:val="center"/>
        <w:rPr>
          <w:rFonts w:ascii="仿宋_GB2312" w:eastAsia="仿宋_GB2312"/>
          <w:sz w:val="24"/>
          <w:szCs w:val="24"/>
        </w:rPr>
      </w:pPr>
    </w:p>
    <w:p w14:paraId="17F5E9FB" w14:textId="77777777" w:rsidR="00DB55D3" w:rsidRDefault="00DB55D3">
      <w:pPr>
        <w:jc w:val="center"/>
        <w:rPr>
          <w:rFonts w:ascii="仿宋_GB2312" w:eastAsia="仿宋_GB2312"/>
          <w:sz w:val="24"/>
          <w:szCs w:val="24"/>
        </w:rPr>
      </w:pPr>
    </w:p>
    <w:tbl>
      <w:tblPr>
        <w:tblW w:w="8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6551"/>
        <w:gridCol w:w="1605"/>
      </w:tblGrid>
      <w:tr w:rsidR="00DB55D3" w14:paraId="51DD7127" w14:textId="77777777">
        <w:trPr>
          <w:trHeight w:val="525"/>
        </w:trPr>
        <w:tc>
          <w:tcPr>
            <w:tcW w:w="755" w:type="dxa"/>
            <w:vAlign w:val="center"/>
          </w:tcPr>
          <w:p w14:paraId="501E01F2" w14:textId="77777777" w:rsidR="00DB55D3" w:rsidRDefault="00C368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6551" w:type="dxa"/>
            <w:vAlign w:val="center"/>
          </w:tcPr>
          <w:p w14:paraId="2A3D90DC" w14:textId="77777777" w:rsidR="00DB55D3" w:rsidRDefault="00C368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卖出营业部名称</w:t>
            </w:r>
          </w:p>
        </w:tc>
        <w:tc>
          <w:tcPr>
            <w:tcW w:w="1605" w:type="dxa"/>
          </w:tcPr>
          <w:p w14:paraId="16EB09A3" w14:textId="77777777" w:rsidR="00DB55D3" w:rsidRDefault="00C368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卖出金额（元）</w:t>
            </w:r>
          </w:p>
        </w:tc>
      </w:tr>
      <w:tr w:rsidR="00DB55D3" w14:paraId="26BF42A9" w14:textId="77777777">
        <w:trPr>
          <w:trHeight w:val="525"/>
        </w:trPr>
        <w:tc>
          <w:tcPr>
            <w:tcW w:w="755" w:type="dxa"/>
            <w:vAlign w:val="center"/>
          </w:tcPr>
          <w:p w14:paraId="374AD530" w14:textId="77777777" w:rsidR="00DB55D3" w:rsidRDefault="00C3685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6551" w:type="dxa"/>
            <w:vAlign w:val="center"/>
          </w:tcPr>
          <w:p w14:paraId="4CE15B1E" w14:textId="69D76A30" w:rsidR="00DB55D3" w:rsidRPr="004E0D71" w:rsidRDefault="004E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0D71">
              <w:rPr>
                <w:rFonts w:ascii="仿宋_GB2312" w:eastAsia="仿宋_GB2312" w:hint="eastAsia"/>
                <w:sz w:val="24"/>
                <w:szCs w:val="24"/>
              </w:rPr>
              <w:t>光大证券股份有限公司东莞运河东一路证券营业部</w:t>
            </w:r>
          </w:p>
        </w:tc>
        <w:tc>
          <w:tcPr>
            <w:tcW w:w="1605" w:type="dxa"/>
            <w:vAlign w:val="center"/>
          </w:tcPr>
          <w:p w14:paraId="7C716F14" w14:textId="094BED55" w:rsidR="00DB55D3" w:rsidRDefault="004E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223707</w:t>
            </w:r>
            <w:r w:rsidR="00C36852">
              <w:rPr>
                <w:rFonts w:ascii="仿宋_GB2312" w:eastAsia="仿宋_GB2312" w:hint="eastAsia"/>
                <w:sz w:val="24"/>
                <w:szCs w:val="24"/>
              </w:rPr>
              <w:t>.00</w:t>
            </w:r>
          </w:p>
        </w:tc>
      </w:tr>
      <w:tr w:rsidR="008E4C29" w14:paraId="24EB70F1" w14:textId="77777777">
        <w:trPr>
          <w:trHeight w:val="525"/>
        </w:trPr>
        <w:tc>
          <w:tcPr>
            <w:tcW w:w="755" w:type="dxa"/>
            <w:vAlign w:val="center"/>
          </w:tcPr>
          <w:p w14:paraId="00485807" w14:textId="35257261" w:rsidR="008E4C29" w:rsidRDefault="008E4C2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6551" w:type="dxa"/>
            <w:vAlign w:val="center"/>
          </w:tcPr>
          <w:p w14:paraId="7265C6A1" w14:textId="1D81CDB3" w:rsidR="008E4C29" w:rsidRPr="004E0D71" w:rsidRDefault="004E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0D71">
              <w:rPr>
                <w:rFonts w:ascii="仿宋_GB2312" w:eastAsia="仿宋_GB2312" w:hint="eastAsia"/>
                <w:sz w:val="24"/>
                <w:szCs w:val="24"/>
              </w:rPr>
              <w:t>恒泰证券股份有限公司包头钢铁大街证券营业部</w:t>
            </w:r>
          </w:p>
        </w:tc>
        <w:tc>
          <w:tcPr>
            <w:tcW w:w="1605" w:type="dxa"/>
            <w:vAlign w:val="center"/>
          </w:tcPr>
          <w:p w14:paraId="4581F045" w14:textId="05BEDAE2" w:rsidR="008E4C29" w:rsidRDefault="008E4C2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4E0D71">
              <w:rPr>
                <w:rFonts w:ascii="仿宋_GB2312" w:eastAsia="仿宋_GB2312"/>
                <w:sz w:val="24"/>
                <w:szCs w:val="24"/>
              </w:rPr>
              <w:t>98000</w:t>
            </w:r>
            <w:r>
              <w:rPr>
                <w:rFonts w:ascii="仿宋_GB2312" w:eastAsia="仿宋_GB2312"/>
                <w:sz w:val="24"/>
                <w:szCs w:val="24"/>
              </w:rPr>
              <w:t>.00</w:t>
            </w:r>
          </w:p>
        </w:tc>
      </w:tr>
      <w:tr w:rsidR="008E4C29" w14:paraId="426EF122" w14:textId="77777777">
        <w:trPr>
          <w:trHeight w:val="525"/>
        </w:trPr>
        <w:tc>
          <w:tcPr>
            <w:tcW w:w="755" w:type="dxa"/>
            <w:vAlign w:val="center"/>
          </w:tcPr>
          <w:p w14:paraId="53F2ACF0" w14:textId="78A1C296" w:rsidR="008E4C29" w:rsidRDefault="008E4C2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6551" w:type="dxa"/>
            <w:vAlign w:val="center"/>
          </w:tcPr>
          <w:p w14:paraId="1FE163CF" w14:textId="4BB6782F" w:rsidR="008E4C29" w:rsidRPr="004E0D71" w:rsidRDefault="004E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0D71">
              <w:rPr>
                <w:rFonts w:ascii="仿宋_GB2312" w:eastAsia="仿宋_GB2312" w:hint="eastAsia"/>
                <w:sz w:val="24"/>
                <w:szCs w:val="24"/>
              </w:rPr>
              <w:t>宏信证券有限责任公司峨眉山绥山路证券营业部</w:t>
            </w:r>
          </w:p>
        </w:tc>
        <w:tc>
          <w:tcPr>
            <w:tcW w:w="1605" w:type="dxa"/>
            <w:vAlign w:val="center"/>
          </w:tcPr>
          <w:p w14:paraId="24BEAFE7" w14:textId="499C4829" w:rsidR="008E4C29" w:rsidRDefault="00DD562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  <w:r w:rsidR="004E0D71">
              <w:rPr>
                <w:rFonts w:ascii="仿宋_GB2312" w:eastAsia="仿宋_GB2312"/>
                <w:sz w:val="24"/>
                <w:szCs w:val="24"/>
              </w:rPr>
              <w:t>33155</w:t>
            </w:r>
            <w:r w:rsidR="008E4C29">
              <w:rPr>
                <w:rFonts w:ascii="仿宋_GB2312" w:eastAsia="仿宋_GB2312"/>
                <w:sz w:val="24"/>
                <w:szCs w:val="24"/>
              </w:rPr>
              <w:t>.00</w:t>
            </w:r>
          </w:p>
        </w:tc>
      </w:tr>
      <w:tr w:rsidR="00DD5627" w14:paraId="4884BB32" w14:textId="77777777">
        <w:trPr>
          <w:trHeight w:val="525"/>
        </w:trPr>
        <w:tc>
          <w:tcPr>
            <w:tcW w:w="755" w:type="dxa"/>
            <w:vAlign w:val="center"/>
          </w:tcPr>
          <w:p w14:paraId="1CB6CCCB" w14:textId="12179507" w:rsidR="00DD5627" w:rsidRDefault="00DD562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6551" w:type="dxa"/>
            <w:vAlign w:val="center"/>
          </w:tcPr>
          <w:p w14:paraId="2BDB451D" w14:textId="3B3F7FCF" w:rsidR="00DD5627" w:rsidRPr="004E0D71" w:rsidRDefault="004E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0D71">
              <w:rPr>
                <w:rFonts w:ascii="仿宋_GB2312" w:eastAsia="仿宋_GB2312" w:hint="eastAsia"/>
                <w:sz w:val="24"/>
                <w:szCs w:val="24"/>
              </w:rPr>
              <w:t>国金证券股份有限公司成都武成大街证券营业部</w:t>
            </w:r>
          </w:p>
        </w:tc>
        <w:tc>
          <w:tcPr>
            <w:tcW w:w="1605" w:type="dxa"/>
            <w:vAlign w:val="center"/>
          </w:tcPr>
          <w:p w14:paraId="15F73A50" w14:textId="2CCE319F" w:rsidR="00DD5627" w:rsidRDefault="004E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122859</w:t>
            </w:r>
            <w:r w:rsidR="00DD5627">
              <w:rPr>
                <w:rFonts w:ascii="仿宋_GB2312" w:eastAsia="仿宋_GB2312"/>
                <w:sz w:val="24"/>
                <w:szCs w:val="24"/>
              </w:rPr>
              <w:t>.00</w:t>
            </w:r>
          </w:p>
        </w:tc>
      </w:tr>
      <w:tr w:rsidR="00DD5627" w14:paraId="67DC8643" w14:textId="77777777">
        <w:trPr>
          <w:trHeight w:val="525"/>
        </w:trPr>
        <w:tc>
          <w:tcPr>
            <w:tcW w:w="755" w:type="dxa"/>
            <w:vAlign w:val="center"/>
          </w:tcPr>
          <w:p w14:paraId="3BAA3533" w14:textId="2DBCFB78" w:rsidR="00DD5627" w:rsidRDefault="00DD562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6551" w:type="dxa"/>
            <w:vAlign w:val="center"/>
          </w:tcPr>
          <w:p w14:paraId="0BC7C9EF" w14:textId="0FD5D9A1" w:rsidR="00DD5627" w:rsidRPr="004E0D71" w:rsidRDefault="004E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E0D71">
              <w:rPr>
                <w:rFonts w:ascii="仿宋_GB2312" w:eastAsia="仿宋_GB2312" w:hint="eastAsia"/>
                <w:sz w:val="24"/>
                <w:szCs w:val="24"/>
              </w:rPr>
              <w:t>西藏东方财富证券股份有限公司拉萨东环路第二证券营业</w:t>
            </w:r>
            <w:r>
              <w:rPr>
                <w:rFonts w:ascii="仿宋_GB2312" w:eastAsia="仿宋_GB2312" w:hint="eastAsia"/>
                <w:sz w:val="24"/>
                <w:szCs w:val="24"/>
              </w:rPr>
              <w:t>部</w:t>
            </w:r>
            <w:bookmarkStart w:id="0" w:name="_GoBack"/>
            <w:bookmarkEnd w:id="0"/>
          </w:p>
        </w:tc>
        <w:tc>
          <w:tcPr>
            <w:tcW w:w="1605" w:type="dxa"/>
            <w:vAlign w:val="center"/>
          </w:tcPr>
          <w:p w14:paraId="0A9A9897" w14:textId="58E622E7" w:rsidR="00DD5627" w:rsidRDefault="004E0D7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65373</w:t>
            </w:r>
            <w:r w:rsidR="00DD5627">
              <w:rPr>
                <w:rFonts w:ascii="仿宋_GB2312" w:eastAsia="仿宋_GB2312"/>
                <w:sz w:val="24"/>
                <w:szCs w:val="24"/>
              </w:rPr>
              <w:t>.00</w:t>
            </w:r>
          </w:p>
        </w:tc>
      </w:tr>
    </w:tbl>
    <w:p w14:paraId="126D128E" w14:textId="77777777" w:rsidR="00DB55D3" w:rsidRDefault="00DB55D3">
      <w:pPr>
        <w:jc w:val="center"/>
        <w:rPr>
          <w:rFonts w:ascii="仿宋_GB2312" w:eastAsia="仿宋_GB2312"/>
          <w:sz w:val="24"/>
          <w:szCs w:val="24"/>
        </w:rPr>
      </w:pPr>
    </w:p>
    <w:p w14:paraId="7D6D9E29" w14:textId="77777777" w:rsidR="00DB55D3" w:rsidRDefault="00DB55D3"/>
    <w:sectPr w:rsidR="00DB55D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D40"/>
    <w:rsid w:val="000A58E2"/>
    <w:rsid w:val="00137161"/>
    <w:rsid w:val="00147BC5"/>
    <w:rsid w:val="001B3D40"/>
    <w:rsid w:val="001C5825"/>
    <w:rsid w:val="00204D4A"/>
    <w:rsid w:val="0022055F"/>
    <w:rsid w:val="002C4E90"/>
    <w:rsid w:val="002E6268"/>
    <w:rsid w:val="004A7D57"/>
    <w:rsid w:val="004E0D71"/>
    <w:rsid w:val="005145C8"/>
    <w:rsid w:val="00594180"/>
    <w:rsid w:val="00641F22"/>
    <w:rsid w:val="0069033A"/>
    <w:rsid w:val="006A6C45"/>
    <w:rsid w:val="00762972"/>
    <w:rsid w:val="008155A0"/>
    <w:rsid w:val="00840DD9"/>
    <w:rsid w:val="008B7E90"/>
    <w:rsid w:val="008E4C29"/>
    <w:rsid w:val="009446C1"/>
    <w:rsid w:val="009B512C"/>
    <w:rsid w:val="00A65C10"/>
    <w:rsid w:val="00A86312"/>
    <w:rsid w:val="00B9599C"/>
    <w:rsid w:val="00C36852"/>
    <w:rsid w:val="00CA4730"/>
    <w:rsid w:val="00DB55D3"/>
    <w:rsid w:val="00DD5627"/>
    <w:rsid w:val="00DE44F9"/>
    <w:rsid w:val="00EE0C06"/>
    <w:rsid w:val="00F231AB"/>
    <w:rsid w:val="00FC50F7"/>
    <w:rsid w:val="476A62C4"/>
    <w:rsid w:val="4B7A252A"/>
    <w:rsid w:val="576565DC"/>
    <w:rsid w:val="6D12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367E3"/>
  <w15:docId w15:val="{1A97F2F9-FB23-4DC5-839F-C5A77303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customStyle="1" w:styleId="spanoutputhighelement">
    <w:name w:val="spanoutputhighelement"/>
    <w:basedOn w:val="a0"/>
    <w:rPr>
      <w:color w:val="FFFFFF"/>
      <w:shd w:val="clear" w:color="auto" w:fill="000040"/>
    </w:rPr>
  </w:style>
  <w:style w:type="character" w:customStyle="1" w:styleId="spanoutputtitleelement">
    <w:name w:val="spanoutputtitleelement"/>
    <w:basedOn w:val="a0"/>
    <w:rPr>
      <w:color w:val="000000"/>
      <w:shd w:val="clear" w:color="auto" w:fill="2A81B8"/>
    </w:rPr>
  </w:style>
  <w:style w:type="character" w:customStyle="1" w:styleId="spanoutputtextdropdown">
    <w:name w:val="spanoutputtextdropdown"/>
    <w:basedOn w:val="a0"/>
    <w:qFormat/>
    <w:rPr>
      <w:vanish/>
      <w:bdr w:val="single" w:sz="6" w:space="0" w:color="000000"/>
      <w:shd w:val="clear" w:color="auto" w:fill="C0C0C0"/>
    </w:rPr>
  </w:style>
  <w:style w:type="character" w:customStyle="1" w:styleId="spanoutputnormalelement">
    <w:name w:val="spanoutputnormalelement"/>
    <w:basedOn w:val="a0"/>
    <w:qFormat/>
    <w:rPr>
      <w:color w:val="000000"/>
      <w:shd w:val="clear" w:color="auto" w:fill="FFFFFF"/>
    </w:rPr>
  </w:style>
  <w:style w:type="character" w:customStyle="1" w:styleId="a6">
    <w:name w:val="页眉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2AC47F-1B88-48D8-A39A-7054FE6D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 Aria</cp:lastModifiedBy>
  <cp:revision>6</cp:revision>
  <dcterms:created xsi:type="dcterms:W3CDTF">2018-07-03T01:08:00Z</dcterms:created>
  <dcterms:modified xsi:type="dcterms:W3CDTF">2019-09-05T01:02:00Z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