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55" w:rsidRPr="00CB0FFE" w:rsidRDefault="00EB60E4" w:rsidP="005F0EAB">
      <w:pPr>
        <w:jc w:val="center"/>
        <w:rPr>
          <w:b/>
          <w:sz w:val="18"/>
          <w:szCs w:val="18"/>
        </w:rPr>
      </w:pPr>
      <w:r w:rsidRPr="00CB0FFE">
        <w:rPr>
          <w:rFonts w:hint="eastAsia"/>
          <w:b/>
          <w:sz w:val="18"/>
          <w:szCs w:val="18"/>
        </w:rPr>
        <w:t>开源证券股份有限公司</w:t>
      </w:r>
      <w:r w:rsidR="003F19BB" w:rsidRPr="00CB0FFE">
        <w:rPr>
          <w:rFonts w:hint="eastAsia"/>
          <w:b/>
          <w:sz w:val="18"/>
          <w:szCs w:val="18"/>
        </w:rPr>
        <w:t>融资融券合同</w:t>
      </w:r>
      <w:r w:rsidR="005F0EAB" w:rsidRPr="00CB0FFE">
        <w:rPr>
          <w:rFonts w:hint="eastAsia"/>
          <w:b/>
          <w:sz w:val="18"/>
          <w:szCs w:val="18"/>
        </w:rPr>
        <w:t>修订对照表</w:t>
      </w:r>
      <w:r w:rsidR="00995968">
        <w:rPr>
          <w:rFonts w:hint="eastAsia"/>
          <w:b/>
          <w:sz w:val="18"/>
          <w:szCs w:val="18"/>
        </w:rPr>
        <w:t>（</w:t>
      </w:r>
      <w:r w:rsidR="00995968">
        <w:rPr>
          <w:rFonts w:hint="eastAsia"/>
          <w:b/>
          <w:sz w:val="18"/>
          <w:szCs w:val="18"/>
        </w:rPr>
        <w:t>2020</w:t>
      </w:r>
      <w:r w:rsidR="00FD765E">
        <w:rPr>
          <w:rFonts w:hint="eastAsia"/>
          <w:b/>
          <w:sz w:val="18"/>
          <w:szCs w:val="18"/>
        </w:rPr>
        <w:t>年</w:t>
      </w:r>
      <w:r w:rsidR="00FD765E">
        <w:rPr>
          <w:rFonts w:hint="eastAsia"/>
          <w:b/>
          <w:sz w:val="18"/>
          <w:szCs w:val="18"/>
        </w:rPr>
        <w:t>9</w:t>
      </w:r>
      <w:r w:rsidR="00FD765E">
        <w:rPr>
          <w:rFonts w:hint="eastAsia"/>
          <w:b/>
          <w:sz w:val="18"/>
          <w:szCs w:val="18"/>
        </w:rPr>
        <w:t>月</w:t>
      </w:r>
      <w:r w:rsidR="00995968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F0EAB" w:rsidRPr="00CB0FFE" w:rsidTr="005F0EAB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AB" w:rsidRPr="00CB0FFE" w:rsidRDefault="005F0E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b/>
                <w:color w:val="000000" w:themeColor="text1"/>
                <w:sz w:val="18"/>
                <w:szCs w:val="18"/>
              </w:rPr>
              <w:t>原条款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AB" w:rsidRPr="00CB0FFE" w:rsidRDefault="005F0EAB" w:rsidP="004B0F6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b/>
                <w:color w:val="000000" w:themeColor="text1"/>
                <w:sz w:val="18"/>
                <w:szCs w:val="18"/>
              </w:rPr>
              <w:t>修订后条款</w:t>
            </w:r>
          </w:p>
        </w:tc>
      </w:tr>
      <w:tr w:rsidR="005F0EAB" w:rsidRPr="00CB0FFE" w:rsidTr="005F0EAB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3B2" w:rsidRPr="00CB0FFE" w:rsidRDefault="001C33B2" w:rsidP="00D57663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AB" w:rsidRPr="00CB0FFE" w:rsidRDefault="005F0EAB" w:rsidP="00D57663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7E0FE6" w:rsidRPr="00CB0FFE" w:rsidTr="005F0EAB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E6" w:rsidRPr="00CB0FFE" w:rsidRDefault="007E0FE6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/>
                <w:b/>
                <w:sz w:val="18"/>
                <w:szCs w:val="18"/>
              </w:rPr>
            </w:pPr>
            <w:r w:rsidRPr="00CB0FFE">
              <w:rPr>
                <w:rFonts w:ascii="宋体" w:hAnsi="宋体" w:hint="eastAsia"/>
                <w:b/>
                <w:sz w:val="18"/>
                <w:szCs w:val="18"/>
              </w:rPr>
              <w:t>第七条 授信额度、融资融券期限、融资利息、融券费用、逾期违约金及佣金费率</w:t>
            </w:r>
          </w:p>
          <w:p w:rsidR="007E0FE6" w:rsidRPr="00CB0FFE" w:rsidRDefault="007E0FE6" w:rsidP="007E0FE6">
            <w:pPr>
              <w:tabs>
                <w:tab w:val="left" w:pos="720"/>
              </w:tabs>
              <w:spacing w:line="400" w:lineRule="exact"/>
              <w:ind w:left="1" w:firstLineChars="200" w:firstLine="360"/>
              <w:outlineLvl w:val="0"/>
              <w:rPr>
                <w:rFonts w:ascii="宋体" w:hAnsi="宋体"/>
                <w:sz w:val="18"/>
                <w:szCs w:val="18"/>
              </w:rPr>
            </w:pPr>
            <w:r w:rsidRPr="00CB0FFE">
              <w:rPr>
                <w:rFonts w:ascii="宋体" w:hAnsi="宋体" w:hint="eastAsia"/>
                <w:sz w:val="18"/>
                <w:szCs w:val="18"/>
              </w:rPr>
              <w:t>（一）授信额度</w:t>
            </w:r>
          </w:p>
          <w:p w:rsidR="007E0FE6" w:rsidRPr="00CB0FFE" w:rsidRDefault="007E0FE6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/>
                <w:b/>
                <w:sz w:val="18"/>
                <w:szCs w:val="18"/>
              </w:rPr>
            </w:pPr>
          </w:p>
          <w:p w:rsidR="007E0FE6" w:rsidRPr="00CB0FFE" w:rsidRDefault="007E0FE6" w:rsidP="007E0FE6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7E0FE6" w:rsidRPr="00CB0FFE" w:rsidRDefault="007E0FE6" w:rsidP="007E0FE6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367"/>
              <w:outlineLvl w:val="0"/>
              <w:rPr>
                <w:rFonts w:ascii="宋体" w:hAnsi="宋体"/>
                <w:sz w:val="18"/>
                <w:szCs w:val="18"/>
              </w:rPr>
            </w:pPr>
            <w:r w:rsidRPr="00CB0FFE">
              <w:rPr>
                <w:rFonts w:ascii="宋体" w:hAnsi="宋体" w:hint="eastAsia"/>
                <w:sz w:val="18"/>
                <w:szCs w:val="18"/>
              </w:rPr>
              <w:t>（二）融资融券期限</w:t>
            </w:r>
          </w:p>
          <w:p w:rsidR="007E0FE6" w:rsidRPr="00CB0FFE" w:rsidRDefault="007E0FE6" w:rsidP="007E0FE6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  <w:bookmarkStart w:id="0" w:name="_GoBack"/>
            <w:bookmarkEnd w:id="0"/>
          </w:p>
          <w:p w:rsidR="007E0FE6" w:rsidRPr="00CB0FFE" w:rsidRDefault="007E0FE6" w:rsidP="007E0FE6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367"/>
              <w:outlineLvl w:val="0"/>
              <w:rPr>
                <w:rFonts w:ascii="宋体" w:hAnsi="宋体"/>
                <w:sz w:val="18"/>
                <w:szCs w:val="18"/>
              </w:rPr>
            </w:pPr>
          </w:p>
          <w:p w:rsidR="00402CF9" w:rsidRDefault="00402CF9" w:rsidP="00402CF9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490"/>
              <w:outlineLvl w:val="0"/>
              <w:rPr>
                <w:rFonts w:ascii="宋体" w:hAnsi="宋体"/>
                <w:sz w:val="24"/>
              </w:rPr>
            </w:pPr>
            <w:r w:rsidRPr="006D79EB">
              <w:rPr>
                <w:rFonts w:ascii="宋体" w:hAnsi="宋体" w:hint="eastAsia"/>
                <w:sz w:val="24"/>
              </w:rPr>
              <w:t>4、甲方如需融资融券</w:t>
            </w:r>
            <w:r>
              <w:rPr>
                <w:rFonts w:ascii="宋体" w:hAnsi="宋体" w:hint="eastAsia"/>
                <w:sz w:val="24"/>
              </w:rPr>
              <w:t>合约</w:t>
            </w:r>
            <w:r w:rsidRPr="006D79EB">
              <w:rPr>
                <w:rFonts w:ascii="宋体" w:hAnsi="宋体" w:hint="eastAsia"/>
                <w:sz w:val="24"/>
              </w:rPr>
              <w:t>展期的，应在</w:t>
            </w:r>
            <w:r w:rsidRPr="0066759F">
              <w:rPr>
                <w:rFonts w:ascii="宋体" w:hAnsi="宋体" w:hint="eastAsia"/>
                <w:sz w:val="24"/>
              </w:rPr>
              <w:t>合约到期日前30日</w:t>
            </w:r>
            <w:r>
              <w:rPr>
                <w:rFonts w:ascii="宋体" w:hAnsi="宋体" w:hint="eastAsia"/>
                <w:sz w:val="24"/>
              </w:rPr>
              <w:t>内</w:t>
            </w:r>
            <w:r w:rsidRPr="006D79EB">
              <w:rPr>
                <w:rFonts w:ascii="宋体" w:hAnsi="宋体" w:hint="eastAsia"/>
                <w:sz w:val="24"/>
              </w:rPr>
              <w:t>向乙方提出申请办理融资融券</w:t>
            </w:r>
            <w:r>
              <w:rPr>
                <w:rFonts w:ascii="宋体" w:hAnsi="宋体" w:hint="eastAsia"/>
                <w:sz w:val="24"/>
              </w:rPr>
              <w:t>合约</w:t>
            </w:r>
            <w:r w:rsidRPr="006D79EB">
              <w:rPr>
                <w:rFonts w:ascii="宋体" w:hAnsi="宋体" w:hint="eastAsia"/>
                <w:sz w:val="24"/>
              </w:rPr>
              <w:t>展期，乙方可在对甲方的信用状况、负债情况、维持担保比例水平等进行评估后，</w:t>
            </w:r>
            <w:r>
              <w:rPr>
                <w:rFonts w:ascii="宋体" w:hAnsi="宋体" w:hint="eastAsia"/>
                <w:sz w:val="24"/>
              </w:rPr>
              <w:t>可</w:t>
            </w:r>
            <w:r w:rsidRPr="006D79EB">
              <w:rPr>
                <w:rFonts w:ascii="宋体" w:hAnsi="宋体" w:hint="eastAsia"/>
                <w:sz w:val="24"/>
              </w:rPr>
              <w:t>为其办理展期，每次展期的期限不得超过6个月。甲方有过两次以上</w:t>
            </w:r>
            <w:r w:rsidRPr="0066759F">
              <w:rPr>
                <w:rFonts w:ascii="宋体" w:hAnsi="宋体" w:hint="eastAsia"/>
                <w:sz w:val="24"/>
              </w:rPr>
              <w:t>违约记录的或维持担保比例低于</w:t>
            </w:r>
            <w:r>
              <w:rPr>
                <w:rFonts w:ascii="宋体" w:hAnsi="宋体" w:hint="eastAsia"/>
                <w:sz w:val="24"/>
              </w:rPr>
              <w:t>警戒线的</w:t>
            </w:r>
            <w:r w:rsidRPr="006D79EB">
              <w:rPr>
                <w:rFonts w:ascii="宋体" w:hAnsi="宋体" w:hint="eastAsia"/>
                <w:sz w:val="24"/>
              </w:rPr>
              <w:t>，乙方有权拒绝为其办理展期。</w:t>
            </w:r>
          </w:p>
          <w:p w:rsidR="009D255D" w:rsidRPr="006D79EB" w:rsidRDefault="009D255D" w:rsidP="009D255D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490"/>
              <w:outlineLvl w:val="0"/>
              <w:rPr>
                <w:rFonts w:ascii="宋体" w:hAnsi="宋体"/>
                <w:sz w:val="24"/>
              </w:rPr>
            </w:pPr>
            <w:r w:rsidRPr="006D79EB">
              <w:rPr>
                <w:rFonts w:ascii="宋体" w:hAnsi="宋体" w:hint="eastAsia"/>
                <w:sz w:val="24"/>
              </w:rPr>
              <w:t>（三）</w:t>
            </w:r>
            <w:r w:rsidRPr="006D79EB">
              <w:rPr>
                <w:rFonts w:ascii="宋体" w:hAnsi="宋体"/>
                <w:sz w:val="24"/>
              </w:rPr>
              <w:t>融资利</w:t>
            </w:r>
            <w:r w:rsidRPr="006D79EB">
              <w:rPr>
                <w:rFonts w:ascii="宋体" w:hAnsi="宋体" w:hint="eastAsia"/>
                <w:sz w:val="24"/>
              </w:rPr>
              <w:t>息、</w:t>
            </w:r>
            <w:r w:rsidRPr="006D79EB">
              <w:rPr>
                <w:rFonts w:ascii="宋体" w:hAnsi="宋体"/>
                <w:sz w:val="24"/>
              </w:rPr>
              <w:t>融券费用</w:t>
            </w:r>
            <w:r w:rsidRPr="006D79EB">
              <w:rPr>
                <w:rFonts w:ascii="宋体" w:hAnsi="宋体" w:hint="eastAsia"/>
                <w:sz w:val="24"/>
              </w:rPr>
              <w:t>、逾期</w:t>
            </w:r>
            <w:r>
              <w:rPr>
                <w:rFonts w:ascii="宋体" w:hAnsi="宋体" w:hint="eastAsia"/>
                <w:sz w:val="24"/>
              </w:rPr>
              <w:t>违约金</w:t>
            </w:r>
            <w:r w:rsidRPr="006D79EB">
              <w:rPr>
                <w:rFonts w:ascii="宋体" w:hAnsi="宋体" w:hint="eastAsia"/>
                <w:sz w:val="24"/>
              </w:rPr>
              <w:t>及佣金费率</w:t>
            </w:r>
          </w:p>
          <w:p w:rsidR="009D255D" w:rsidRPr="00CB0FFE" w:rsidRDefault="009D255D" w:rsidP="009D255D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9D255D" w:rsidRPr="006D79EB" w:rsidRDefault="009D255D" w:rsidP="009D255D">
            <w:pPr>
              <w:tabs>
                <w:tab w:val="left" w:pos="720"/>
              </w:tabs>
              <w:spacing w:line="400" w:lineRule="exact"/>
              <w:ind w:left="1" w:firstLineChars="200" w:firstLine="480"/>
              <w:rPr>
                <w:rFonts w:ascii="宋体" w:hAnsi="宋体" w:cs="Arial"/>
                <w:sz w:val="24"/>
              </w:rPr>
            </w:pPr>
            <w:r w:rsidRPr="006D79EB">
              <w:rPr>
                <w:rFonts w:ascii="宋体" w:hAnsi="宋体" w:cs="Arial" w:hint="eastAsia"/>
                <w:sz w:val="24"/>
              </w:rPr>
              <w:t>5、甲方账户佣金费率标准为</w:t>
            </w:r>
            <w:r w:rsidRPr="00124109">
              <w:rPr>
                <w:rFonts w:ascii="宋体" w:hAnsi="宋体" w:cs="Arial" w:hint="eastAsia"/>
                <w:b/>
                <w:sz w:val="24"/>
              </w:rPr>
              <w:t>3</w:t>
            </w:r>
            <w:r w:rsidRPr="00124109">
              <w:rPr>
                <w:rFonts w:ascii="宋体" w:hAnsi="宋体" w:cs="Arial"/>
                <w:b/>
                <w:sz w:val="24"/>
              </w:rPr>
              <w:t>‰</w:t>
            </w:r>
            <w:r w:rsidRPr="00124109">
              <w:rPr>
                <w:rFonts w:ascii="宋体" w:hAnsi="宋体" w:cs="Arial" w:hint="eastAsia"/>
                <w:b/>
                <w:sz w:val="24"/>
              </w:rPr>
              <w:t>，</w:t>
            </w:r>
            <w:r>
              <w:rPr>
                <w:rFonts w:ascii="宋体" w:hAnsi="宋体" w:cs="Arial" w:hint="eastAsia"/>
                <w:sz w:val="24"/>
              </w:rPr>
              <w:t>佣金费率</w:t>
            </w:r>
            <w:r w:rsidRPr="006D79EB">
              <w:rPr>
                <w:rFonts w:ascii="宋体" w:hAnsi="宋体" w:cs="Arial" w:hint="eastAsia"/>
                <w:sz w:val="24"/>
              </w:rPr>
              <w:t>可经甲方向乙方提出申请后进行调整。</w:t>
            </w:r>
          </w:p>
          <w:p w:rsidR="007E0FE6" w:rsidRPr="009D255D" w:rsidRDefault="007E0FE6" w:rsidP="00D57663">
            <w:pPr>
              <w:tabs>
                <w:tab w:val="left" w:pos="0"/>
                <w:tab w:val="left" w:pos="180"/>
              </w:tabs>
              <w:spacing w:line="400" w:lineRule="exact"/>
              <w:ind w:rightChars="12" w:right="25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6" w:rsidRPr="00CB0FFE" w:rsidRDefault="007E0FE6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/>
                <w:b/>
                <w:sz w:val="18"/>
                <w:szCs w:val="18"/>
              </w:rPr>
            </w:pPr>
            <w:r w:rsidRPr="00CB0FFE">
              <w:rPr>
                <w:rFonts w:ascii="宋体" w:hAnsi="宋体" w:hint="eastAsia"/>
                <w:b/>
                <w:sz w:val="18"/>
                <w:szCs w:val="18"/>
              </w:rPr>
              <w:t>第七条 授信额度、融资融券期限、融资利息、融券费用、逾期违约金及佣金费率</w:t>
            </w:r>
          </w:p>
          <w:p w:rsidR="007E0FE6" w:rsidRPr="00CB0FFE" w:rsidRDefault="007E0FE6" w:rsidP="007E0FE6">
            <w:pPr>
              <w:tabs>
                <w:tab w:val="left" w:pos="720"/>
              </w:tabs>
              <w:spacing w:line="400" w:lineRule="exact"/>
              <w:ind w:left="1" w:firstLineChars="200" w:firstLine="360"/>
              <w:outlineLvl w:val="0"/>
              <w:rPr>
                <w:rFonts w:ascii="宋体" w:hAnsi="宋体"/>
                <w:sz w:val="18"/>
                <w:szCs w:val="18"/>
              </w:rPr>
            </w:pPr>
            <w:r w:rsidRPr="00CB0FFE">
              <w:rPr>
                <w:rFonts w:ascii="宋体" w:hAnsi="宋体" w:hint="eastAsia"/>
                <w:sz w:val="18"/>
                <w:szCs w:val="18"/>
              </w:rPr>
              <w:t>（一）授信额度</w:t>
            </w:r>
          </w:p>
          <w:p w:rsidR="007E0FE6" w:rsidRPr="00CB0FFE" w:rsidRDefault="007E0FE6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/>
                <w:b/>
                <w:sz w:val="18"/>
                <w:szCs w:val="18"/>
              </w:rPr>
            </w:pPr>
          </w:p>
          <w:p w:rsidR="007E0FE6" w:rsidRPr="00CB0FFE" w:rsidRDefault="007E0FE6" w:rsidP="007E0FE6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7E0FE6" w:rsidRPr="00CB0FFE" w:rsidRDefault="007E0FE6" w:rsidP="007E0FE6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367"/>
              <w:outlineLvl w:val="0"/>
              <w:rPr>
                <w:rFonts w:ascii="宋体" w:hAnsi="宋体"/>
                <w:sz w:val="18"/>
                <w:szCs w:val="18"/>
              </w:rPr>
            </w:pPr>
            <w:r w:rsidRPr="00CB0FFE">
              <w:rPr>
                <w:rFonts w:ascii="宋体" w:hAnsi="宋体" w:hint="eastAsia"/>
                <w:sz w:val="18"/>
                <w:szCs w:val="18"/>
              </w:rPr>
              <w:t>（二）融资融券期限</w:t>
            </w:r>
          </w:p>
          <w:p w:rsidR="007E0FE6" w:rsidRPr="00CB0FFE" w:rsidRDefault="007E0FE6" w:rsidP="007E0FE6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7E0FE6" w:rsidRPr="00CB0FFE" w:rsidRDefault="007E0FE6" w:rsidP="007E0FE6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367"/>
              <w:outlineLvl w:val="0"/>
              <w:rPr>
                <w:rFonts w:ascii="宋体" w:hAnsi="宋体"/>
                <w:sz w:val="18"/>
                <w:szCs w:val="18"/>
              </w:rPr>
            </w:pPr>
          </w:p>
          <w:p w:rsidR="00426235" w:rsidRPr="006D79EB" w:rsidRDefault="00426235" w:rsidP="00426235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490"/>
              <w:outlineLvl w:val="0"/>
              <w:rPr>
                <w:rFonts w:ascii="宋体" w:hAnsi="宋体"/>
                <w:sz w:val="24"/>
              </w:rPr>
            </w:pPr>
            <w:r w:rsidRPr="006D79EB">
              <w:rPr>
                <w:rFonts w:ascii="宋体" w:hAnsi="宋体" w:hint="eastAsia"/>
                <w:sz w:val="24"/>
              </w:rPr>
              <w:t>4、甲方如需融资融券</w:t>
            </w:r>
            <w:r>
              <w:rPr>
                <w:rFonts w:ascii="宋体" w:hAnsi="宋体" w:hint="eastAsia"/>
                <w:sz w:val="24"/>
              </w:rPr>
              <w:t>合约</w:t>
            </w:r>
            <w:r w:rsidRPr="006D79EB">
              <w:rPr>
                <w:rFonts w:ascii="宋体" w:hAnsi="宋体" w:hint="eastAsia"/>
                <w:sz w:val="24"/>
              </w:rPr>
              <w:t>展期的，应在</w:t>
            </w:r>
            <w:r w:rsidRPr="0066759F">
              <w:rPr>
                <w:rFonts w:ascii="宋体" w:hAnsi="宋体" w:hint="eastAsia"/>
                <w:sz w:val="24"/>
              </w:rPr>
              <w:t>合约到期日前30日</w:t>
            </w:r>
            <w:r>
              <w:rPr>
                <w:rFonts w:ascii="宋体" w:hAnsi="宋体" w:hint="eastAsia"/>
                <w:sz w:val="24"/>
              </w:rPr>
              <w:t>内</w:t>
            </w:r>
            <w:r w:rsidRPr="006D79EB">
              <w:rPr>
                <w:rFonts w:ascii="宋体" w:hAnsi="宋体" w:hint="eastAsia"/>
                <w:sz w:val="24"/>
              </w:rPr>
              <w:t>向乙方提出申请办理融资融券</w:t>
            </w:r>
            <w:r>
              <w:rPr>
                <w:rFonts w:ascii="宋体" w:hAnsi="宋体" w:hint="eastAsia"/>
                <w:sz w:val="24"/>
              </w:rPr>
              <w:t>合约</w:t>
            </w:r>
            <w:r w:rsidRPr="006D79EB">
              <w:rPr>
                <w:rFonts w:ascii="宋体" w:hAnsi="宋体" w:hint="eastAsia"/>
                <w:sz w:val="24"/>
              </w:rPr>
              <w:t>展期，</w:t>
            </w:r>
            <w:r w:rsidRPr="00124109">
              <w:rPr>
                <w:rFonts w:ascii="宋体" w:hAnsi="宋体" w:hint="eastAsia"/>
                <w:b/>
                <w:sz w:val="24"/>
              </w:rPr>
              <w:t>乙方可在对甲方的信用状况、负债情况、维持担保比例水平等进行评估后决定是否为其办理展期。</w:t>
            </w:r>
            <w:proofErr w:type="gramStart"/>
            <w:r w:rsidRPr="00124109">
              <w:rPr>
                <w:rFonts w:ascii="宋体" w:hAnsi="宋体" w:hint="eastAsia"/>
                <w:b/>
                <w:sz w:val="24"/>
              </w:rPr>
              <w:t>若决定</w:t>
            </w:r>
            <w:proofErr w:type="gramEnd"/>
            <w:r w:rsidRPr="00124109">
              <w:rPr>
                <w:rFonts w:ascii="宋体" w:hAnsi="宋体" w:hint="eastAsia"/>
                <w:b/>
                <w:sz w:val="24"/>
              </w:rPr>
              <w:t>展期的，每次展期的期限不得超过6个月。</w:t>
            </w:r>
          </w:p>
          <w:p w:rsidR="009D255D" w:rsidRPr="006D79EB" w:rsidRDefault="009D255D" w:rsidP="009D255D">
            <w:pPr>
              <w:tabs>
                <w:tab w:val="left" w:pos="0"/>
                <w:tab w:val="left" w:pos="180"/>
                <w:tab w:val="left" w:pos="600"/>
                <w:tab w:val="left" w:pos="720"/>
              </w:tabs>
              <w:spacing w:line="400" w:lineRule="exact"/>
              <w:ind w:rightChars="12" w:right="25" w:firstLineChars="204" w:firstLine="490"/>
              <w:outlineLvl w:val="0"/>
              <w:rPr>
                <w:rFonts w:ascii="宋体" w:hAnsi="宋体"/>
                <w:sz w:val="24"/>
              </w:rPr>
            </w:pPr>
            <w:r w:rsidRPr="006D79EB">
              <w:rPr>
                <w:rFonts w:ascii="宋体" w:hAnsi="宋体" w:hint="eastAsia"/>
                <w:sz w:val="24"/>
              </w:rPr>
              <w:t>（三）</w:t>
            </w:r>
            <w:r w:rsidRPr="006D79EB">
              <w:rPr>
                <w:rFonts w:ascii="宋体" w:hAnsi="宋体"/>
                <w:sz w:val="24"/>
              </w:rPr>
              <w:t>融资利</w:t>
            </w:r>
            <w:r w:rsidRPr="006D79EB">
              <w:rPr>
                <w:rFonts w:ascii="宋体" w:hAnsi="宋体" w:hint="eastAsia"/>
                <w:sz w:val="24"/>
              </w:rPr>
              <w:t>息、</w:t>
            </w:r>
            <w:r w:rsidRPr="006D79EB">
              <w:rPr>
                <w:rFonts w:ascii="宋体" w:hAnsi="宋体"/>
                <w:sz w:val="24"/>
              </w:rPr>
              <w:t>融券费用</w:t>
            </w:r>
            <w:r w:rsidRPr="006D79EB">
              <w:rPr>
                <w:rFonts w:ascii="宋体" w:hAnsi="宋体" w:hint="eastAsia"/>
                <w:sz w:val="24"/>
              </w:rPr>
              <w:t>、逾期</w:t>
            </w:r>
            <w:r>
              <w:rPr>
                <w:rFonts w:ascii="宋体" w:hAnsi="宋体" w:hint="eastAsia"/>
                <w:sz w:val="24"/>
              </w:rPr>
              <w:t>违约金</w:t>
            </w:r>
            <w:r w:rsidRPr="006D79EB">
              <w:rPr>
                <w:rFonts w:ascii="宋体" w:hAnsi="宋体" w:hint="eastAsia"/>
                <w:sz w:val="24"/>
              </w:rPr>
              <w:t>及佣金费率</w:t>
            </w:r>
          </w:p>
          <w:p w:rsidR="009D255D" w:rsidRPr="00CB0FFE" w:rsidRDefault="009D255D" w:rsidP="009D255D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9D255D" w:rsidRPr="006D79EB" w:rsidRDefault="009D255D" w:rsidP="009D255D">
            <w:pPr>
              <w:tabs>
                <w:tab w:val="left" w:pos="720"/>
              </w:tabs>
              <w:spacing w:line="400" w:lineRule="exact"/>
              <w:ind w:left="1" w:firstLineChars="200" w:firstLine="480"/>
              <w:rPr>
                <w:rFonts w:ascii="宋体" w:hAnsi="宋体" w:cs="Arial"/>
                <w:sz w:val="24"/>
              </w:rPr>
            </w:pPr>
            <w:r w:rsidRPr="006D79EB">
              <w:rPr>
                <w:rFonts w:ascii="宋体" w:hAnsi="宋体" w:cs="Arial" w:hint="eastAsia"/>
                <w:sz w:val="24"/>
              </w:rPr>
              <w:t>5、甲方账户佣金费率标准为</w:t>
            </w:r>
            <w:r w:rsidRPr="00124109">
              <w:rPr>
                <w:rFonts w:ascii="宋体" w:hAnsi="宋体" w:cs="Arial" w:hint="eastAsia"/>
                <w:b/>
                <w:sz w:val="24"/>
                <w:u w:val="single"/>
              </w:rPr>
              <w:t xml:space="preserve">      </w:t>
            </w:r>
            <w:r w:rsidRPr="00124109">
              <w:rPr>
                <w:rFonts w:ascii="宋体" w:hAnsi="宋体" w:cs="Arial"/>
                <w:b/>
                <w:sz w:val="24"/>
              </w:rPr>
              <w:t>‰</w:t>
            </w:r>
            <w:r>
              <w:rPr>
                <w:rFonts w:ascii="宋体" w:hAnsi="宋体" w:cs="Arial" w:hint="eastAsia"/>
                <w:sz w:val="24"/>
              </w:rPr>
              <w:t>，佣金费率</w:t>
            </w:r>
            <w:r w:rsidRPr="006D79EB">
              <w:rPr>
                <w:rFonts w:ascii="宋体" w:hAnsi="宋体" w:cs="Arial" w:hint="eastAsia"/>
                <w:sz w:val="24"/>
              </w:rPr>
              <w:t>可经甲方向乙方提出申请后进行调整。</w:t>
            </w:r>
          </w:p>
          <w:p w:rsidR="007E0FE6" w:rsidRPr="009D255D" w:rsidRDefault="007E0FE6" w:rsidP="00EB400E">
            <w:pPr>
              <w:tabs>
                <w:tab w:val="left" w:pos="0"/>
                <w:tab w:val="left" w:pos="180"/>
              </w:tabs>
              <w:spacing w:line="400" w:lineRule="exact"/>
              <w:ind w:rightChars="12" w:right="25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89439A" w:rsidRPr="00CB0FFE" w:rsidTr="005F0EAB">
        <w:trPr>
          <w:jc w:val="center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2"/>
              <w:rPr>
                <w:rFonts w:ascii="宋体" w:hAnsi="宋体"/>
                <w:b/>
                <w:sz w:val="24"/>
                <w:highlight w:val="yellow"/>
              </w:rPr>
            </w:pPr>
            <w:r w:rsidRPr="006D79EB">
              <w:rPr>
                <w:rFonts w:ascii="宋体" w:hAnsi="宋体" w:hint="eastAsia"/>
                <w:b/>
                <w:sz w:val="24"/>
              </w:rPr>
              <w:t xml:space="preserve">第十条 </w:t>
            </w:r>
            <w:r>
              <w:rPr>
                <w:rFonts w:ascii="宋体" w:hAnsi="宋体" w:hint="eastAsia"/>
                <w:b/>
                <w:sz w:val="24"/>
              </w:rPr>
              <w:t>违约处置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 w:rsidRPr="00A25A67">
              <w:rPr>
                <w:rFonts w:ascii="宋体" w:hAnsi="宋体" w:hint="eastAsia"/>
                <w:sz w:val="24"/>
              </w:rPr>
              <w:t>（一）当出现以下情形时，乙方有权实施强制平仓：</w:t>
            </w:r>
          </w:p>
          <w:p w:rsidR="0089439A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 w:rsidRPr="00A25A67">
              <w:rPr>
                <w:rFonts w:ascii="宋体" w:hAnsi="宋体" w:hint="eastAsia"/>
                <w:sz w:val="24"/>
              </w:rPr>
              <w:t>1、甲方信用账户清算后维持担保比例低于平仓线，且未在规定时间内补足担保物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、甲方</w:t>
            </w:r>
            <w:r w:rsidRPr="00A25A67">
              <w:rPr>
                <w:rFonts w:ascii="宋体" w:hAnsi="宋体" w:hint="eastAsia"/>
                <w:sz w:val="24"/>
              </w:rPr>
              <w:t>信用账户任一日清算后维持担保比例低于紧急平仓线</w:t>
            </w:r>
            <w:r>
              <w:rPr>
                <w:rFonts w:ascii="宋体" w:hAnsi="宋体" w:hint="eastAsia"/>
                <w:sz w:val="24"/>
              </w:rPr>
              <w:t>，乙方有权随时平仓。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 w:rsidRPr="00A25A67">
              <w:rPr>
                <w:rFonts w:ascii="宋体" w:hAnsi="宋体" w:hint="eastAsia"/>
                <w:sz w:val="24"/>
              </w:rPr>
              <w:t>、甲方在单笔融资融券债务到期的最后一个交易日，仍未足额了结该笔债</w:t>
            </w:r>
            <w:proofErr w:type="gramStart"/>
            <w:r w:rsidRPr="00A25A67">
              <w:rPr>
                <w:rFonts w:ascii="宋体" w:hAnsi="宋体" w:hint="eastAsia"/>
                <w:sz w:val="24"/>
              </w:rPr>
              <w:t>务</w:t>
            </w:r>
            <w:proofErr w:type="gramEnd"/>
            <w:r w:rsidRPr="00A25A67">
              <w:rPr>
                <w:rFonts w:ascii="宋体" w:hAnsi="宋体" w:hint="eastAsia"/>
                <w:sz w:val="24"/>
              </w:rPr>
              <w:t>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A25A67">
              <w:rPr>
                <w:rFonts w:ascii="宋体" w:hAnsi="宋体" w:hint="eastAsia"/>
                <w:sz w:val="24"/>
              </w:rPr>
              <w:t>、甲方融券标的发生终止上市、要约收购、吸收合并等情形的，甲方未在交易所公告的5个交易日（含公告日）内足额归还证券的。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A25A67">
              <w:rPr>
                <w:rFonts w:ascii="宋体" w:hAnsi="宋体" w:hint="eastAsia"/>
                <w:sz w:val="24"/>
              </w:rPr>
              <w:t>、甲方出现违反声明与保证内容。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25A67">
              <w:rPr>
                <w:rFonts w:ascii="宋体" w:hAnsi="宋体" w:hint="eastAsia"/>
                <w:sz w:val="24"/>
              </w:rPr>
              <w:t>、在出现本合同终止</w:t>
            </w:r>
            <w:r>
              <w:rPr>
                <w:rFonts w:ascii="宋体" w:hAnsi="宋体" w:hint="eastAsia"/>
                <w:sz w:val="24"/>
              </w:rPr>
              <w:t>或解除</w:t>
            </w:r>
            <w:r w:rsidRPr="00A25A67">
              <w:rPr>
                <w:rFonts w:ascii="宋体" w:hAnsi="宋体" w:hint="eastAsia"/>
                <w:sz w:val="24"/>
              </w:rPr>
              <w:t>的情形时，甲方未及时了结所负的融资融券债务。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25A6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国家有权机关</w:t>
            </w:r>
            <w:r w:rsidRPr="00A25A67">
              <w:rPr>
                <w:rFonts w:ascii="宋体" w:hAnsi="宋体" w:hint="eastAsia"/>
                <w:sz w:val="24"/>
              </w:rPr>
              <w:t>依法对甲方信用账户</w:t>
            </w:r>
            <w:r>
              <w:rPr>
                <w:rFonts w:ascii="宋体" w:hAnsi="宋体" w:hint="eastAsia"/>
                <w:sz w:val="24"/>
              </w:rPr>
              <w:t>记载的权益采取</w:t>
            </w:r>
            <w:r w:rsidRPr="00A25A67">
              <w:rPr>
                <w:rFonts w:ascii="宋体" w:hAnsi="宋体" w:hint="eastAsia"/>
                <w:sz w:val="24"/>
              </w:rPr>
              <w:t>保全或强制执行措施时，</w:t>
            </w:r>
            <w:r>
              <w:rPr>
                <w:rFonts w:ascii="宋体" w:hAnsi="宋体" w:hint="eastAsia"/>
                <w:sz w:val="24"/>
              </w:rPr>
              <w:t>甲方</w:t>
            </w:r>
            <w:r w:rsidRPr="00A25A67">
              <w:rPr>
                <w:rFonts w:ascii="宋体" w:hAnsi="宋体" w:hint="eastAsia"/>
                <w:sz w:val="24"/>
              </w:rPr>
              <w:t>尚有对乙方的未清偿债务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9439A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8、其他可能严重影响甲方偿债能力的情形。</w:t>
            </w:r>
          </w:p>
          <w:p w:rsidR="0089439A" w:rsidRPr="0089439A" w:rsidRDefault="0089439A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2"/>
              <w:rPr>
                <w:rFonts w:ascii="宋体" w:hAnsi="宋体"/>
                <w:b/>
                <w:sz w:val="24"/>
                <w:highlight w:val="yellow"/>
              </w:rPr>
            </w:pPr>
            <w:r w:rsidRPr="006D79EB">
              <w:rPr>
                <w:rFonts w:ascii="宋体" w:hAnsi="宋体" w:hint="eastAsia"/>
                <w:b/>
                <w:sz w:val="24"/>
              </w:rPr>
              <w:lastRenderedPageBreak/>
              <w:t xml:space="preserve">第十条 </w:t>
            </w:r>
            <w:r>
              <w:rPr>
                <w:rFonts w:ascii="宋体" w:hAnsi="宋体" w:hint="eastAsia"/>
                <w:b/>
                <w:sz w:val="24"/>
              </w:rPr>
              <w:t>违约处置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 w:rsidRPr="00A25A67">
              <w:rPr>
                <w:rFonts w:ascii="宋体" w:hAnsi="宋体" w:hint="eastAsia"/>
                <w:sz w:val="24"/>
              </w:rPr>
              <w:t>（一）当出现以下情形时，乙方有权实施强制平仓：</w:t>
            </w:r>
          </w:p>
          <w:p w:rsidR="0089439A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 w:rsidRPr="00A25A67">
              <w:rPr>
                <w:rFonts w:ascii="宋体" w:hAnsi="宋体" w:hint="eastAsia"/>
                <w:sz w:val="24"/>
              </w:rPr>
              <w:t>1、甲方信用账户清算后维持担保比例低于平仓线，且未在规定时间内补足担保物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、甲方</w:t>
            </w:r>
            <w:r w:rsidRPr="00A25A67">
              <w:rPr>
                <w:rFonts w:ascii="宋体" w:hAnsi="宋体" w:hint="eastAsia"/>
                <w:sz w:val="24"/>
              </w:rPr>
              <w:t>信用账户任一日清算后维持担保比例低于紧急平仓线</w:t>
            </w:r>
            <w:r>
              <w:rPr>
                <w:rFonts w:ascii="宋体" w:hAnsi="宋体" w:hint="eastAsia"/>
                <w:sz w:val="24"/>
              </w:rPr>
              <w:t>，乙方有权随时平仓。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 w:rsidRPr="00A25A67">
              <w:rPr>
                <w:rFonts w:ascii="宋体" w:hAnsi="宋体" w:hint="eastAsia"/>
                <w:sz w:val="24"/>
              </w:rPr>
              <w:t>、甲方在单笔融资融券债务到期的最后一个交易日，仍未足额了结该笔债</w:t>
            </w:r>
            <w:proofErr w:type="gramStart"/>
            <w:r w:rsidRPr="00A25A67">
              <w:rPr>
                <w:rFonts w:ascii="宋体" w:hAnsi="宋体" w:hint="eastAsia"/>
                <w:sz w:val="24"/>
              </w:rPr>
              <w:t>务</w:t>
            </w:r>
            <w:proofErr w:type="gramEnd"/>
            <w:r w:rsidRPr="00A25A67">
              <w:rPr>
                <w:rFonts w:ascii="宋体" w:hAnsi="宋体" w:hint="eastAsia"/>
                <w:sz w:val="24"/>
              </w:rPr>
              <w:t>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A25A67">
              <w:rPr>
                <w:rFonts w:ascii="宋体" w:hAnsi="宋体" w:hint="eastAsia"/>
                <w:sz w:val="24"/>
              </w:rPr>
              <w:t>、甲方融券标的发生终止上市、要约收购、吸收合并等情形的，甲方未在交易所公告的5个交易日（含公告日）内足额归还证券的。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A25A67">
              <w:rPr>
                <w:rFonts w:ascii="宋体" w:hAnsi="宋体" w:hint="eastAsia"/>
                <w:sz w:val="24"/>
              </w:rPr>
              <w:t>、甲方出现违反声明与保证内容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89439A">
              <w:rPr>
                <w:rFonts w:ascii="宋体" w:hAnsi="宋体" w:hint="eastAsia"/>
                <w:b/>
                <w:sz w:val="24"/>
              </w:rPr>
              <w:t>违反本协议其他规定</w:t>
            </w:r>
            <w:r w:rsidRPr="00A25A67">
              <w:rPr>
                <w:rFonts w:ascii="宋体" w:hAnsi="宋体" w:hint="eastAsia"/>
                <w:sz w:val="24"/>
              </w:rPr>
              <w:t>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25A67">
              <w:rPr>
                <w:rFonts w:ascii="宋体" w:hAnsi="宋体" w:hint="eastAsia"/>
                <w:sz w:val="24"/>
              </w:rPr>
              <w:t>、在出现本合同终止</w:t>
            </w:r>
            <w:r>
              <w:rPr>
                <w:rFonts w:ascii="宋体" w:hAnsi="宋体" w:hint="eastAsia"/>
                <w:sz w:val="24"/>
              </w:rPr>
              <w:t>或解除</w:t>
            </w:r>
            <w:r w:rsidRPr="00A25A67">
              <w:rPr>
                <w:rFonts w:ascii="宋体" w:hAnsi="宋体" w:hint="eastAsia"/>
                <w:sz w:val="24"/>
              </w:rPr>
              <w:t>的情形时，甲方未及时了结所负的融资融券债务。</w:t>
            </w: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A25A6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国家有权机关</w:t>
            </w:r>
            <w:r w:rsidRPr="00A25A67">
              <w:rPr>
                <w:rFonts w:ascii="宋体" w:hAnsi="宋体" w:hint="eastAsia"/>
                <w:sz w:val="24"/>
              </w:rPr>
              <w:t>依法对甲方信用账户</w:t>
            </w:r>
            <w:r>
              <w:rPr>
                <w:rFonts w:ascii="宋体" w:hAnsi="宋体" w:hint="eastAsia"/>
                <w:sz w:val="24"/>
              </w:rPr>
              <w:t>记载的权益采取</w:t>
            </w:r>
            <w:r w:rsidRPr="00A25A67">
              <w:rPr>
                <w:rFonts w:ascii="宋体" w:hAnsi="宋体" w:hint="eastAsia"/>
                <w:sz w:val="24"/>
              </w:rPr>
              <w:t>保全或强制执行措施时，</w:t>
            </w:r>
            <w:r>
              <w:rPr>
                <w:rFonts w:ascii="宋体" w:hAnsi="宋体" w:hint="eastAsia"/>
                <w:sz w:val="24"/>
              </w:rPr>
              <w:t>甲方</w:t>
            </w:r>
            <w:r w:rsidRPr="00A25A67">
              <w:rPr>
                <w:rFonts w:ascii="宋体" w:hAnsi="宋体" w:hint="eastAsia"/>
                <w:sz w:val="24"/>
              </w:rPr>
              <w:t>尚有对乙方的未清偿债务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89439A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</w:p>
          <w:p w:rsidR="0089439A" w:rsidRPr="00A25A67" w:rsidRDefault="0089439A" w:rsidP="0089439A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8、其他可能严重影响甲方偿债能力的情形。</w:t>
            </w:r>
          </w:p>
          <w:p w:rsidR="0089439A" w:rsidRPr="00CB0FFE" w:rsidRDefault="0089439A" w:rsidP="0089439A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B0FFE">
              <w:rPr>
                <w:rFonts w:hint="eastAsia"/>
                <w:color w:val="000000" w:themeColor="text1"/>
                <w:sz w:val="18"/>
                <w:szCs w:val="18"/>
              </w:rPr>
              <w:t>……</w:t>
            </w:r>
          </w:p>
          <w:p w:rsidR="0089439A" w:rsidRPr="0089439A" w:rsidRDefault="0089439A" w:rsidP="007E0FE6">
            <w:pPr>
              <w:tabs>
                <w:tab w:val="left" w:pos="0"/>
                <w:tab w:val="left" w:pos="180"/>
              </w:tabs>
              <w:spacing w:line="400" w:lineRule="exact"/>
              <w:ind w:rightChars="12" w:right="25" w:firstLineChars="196" w:firstLine="354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</w:tbl>
    <w:p w:rsidR="005F0EAB" w:rsidRPr="00CB0FFE" w:rsidRDefault="005F0EAB" w:rsidP="005F0EAB">
      <w:pPr>
        <w:jc w:val="center"/>
        <w:rPr>
          <w:sz w:val="18"/>
          <w:szCs w:val="18"/>
        </w:rPr>
      </w:pPr>
    </w:p>
    <w:sectPr w:rsidR="005F0EAB" w:rsidRPr="00CB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E4" w:rsidRDefault="00322EE4" w:rsidP="003F19BB">
      <w:r>
        <w:separator/>
      </w:r>
    </w:p>
  </w:endnote>
  <w:endnote w:type="continuationSeparator" w:id="0">
    <w:p w:rsidR="00322EE4" w:rsidRDefault="00322EE4" w:rsidP="003F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E4" w:rsidRDefault="00322EE4" w:rsidP="003F19BB">
      <w:r>
        <w:separator/>
      </w:r>
    </w:p>
  </w:footnote>
  <w:footnote w:type="continuationSeparator" w:id="0">
    <w:p w:rsidR="00322EE4" w:rsidRDefault="00322EE4" w:rsidP="003F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F6E"/>
    <w:multiLevelType w:val="hybridMultilevel"/>
    <w:tmpl w:val="FFE48D98"/>
    <w:lvl w:ilvl="0" w:tplc="01DCC93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182F8A"/>
    <w:multiLevelType w:val="hybridMultilevel"/>
    <w:tmpl w:val="2514DD90"/>
    <w:lvl w:ilvl="0" w:tplc="0022674C">
      <w:start w:val="1"/>
      <w:numFmt w:val="japaneseCounting"/>
      <w:lvlText w:val="第%1条"/>
      <w:lvlJc w:val="left"/>
      <w:pPr>
        <w:ind w:left="133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">
    <w:nsid w:val="66504848"/>
    <w:multiLevelType w:val="hybridMultilevel"/>
    <w:tmpl w:val="2514DD90"/>
    <w:lvl w:ilvl="0" w:tplc="0022674C">
      <w:start w:val="1"/>
      <w:numFmt w:val="japaneseCounting"/>
      <w:lvlText w:val="第%1条"/>
      <w:lvlJc w:val="left"/>
      <w:pPr>
        <w:ind w:left="133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19"/>
    <w:rsid w:val="0000078E"/>
    <w:rsid w:val="00012D61"/>
    <w:rsid w:val="00017833"/>
    <w:rsid w:val="000275E2"/>
    <w:rsid w:val="0003071C"/>
    <w:rsid w:val="00030EAB"/>
    <w:rsid w:val="00037B2D"/>
    <w:rsid w:val="00041179"/>
    <w:rsid w:val="00042229"/>
    <w:rsid w:val="0004403F"/>
    <w:rsid w:val="00047801"/>
    <w:rsid w:val="000606DD"/>
    <w:rsid w:val="00067929"/>
    <w:rsid w:val="00067F82"/>
    <w:rsid w:val="00071218"/>
    <w:rsid w:val="00072719"/>
    <w:rsid w:val="00075890"/>
    <w:rsid w:val="00075F19"/>
    <w:rsid w:val="00077321"/>
    <w:rsid w:val="00081DE4"/>
    <w:rsid w:val="00083794"/>
    <w:rsid w:val="000855B8"/>
    <w:rsid w:val="00093596"/>
    <w:rsid w:val="00093A26"/>
    <w:rsid w:val="000A33EE"/>
    <w:rsid w:val="000A75E3"/>
    <w:rsid w:val="000A7788"/>
    <w:rsid w:val="000C3C2F"/>
    <w:rsid w:val="000D0628"/>
    <w:rsid w:val="000D11CB"/>
    <w:rsid w:val="000F19CF"/>
    <w:rsid w:val="00110638"/>
    <w:rsid w:val="00117528"/>
    <w:rsid w:val="00124109"/>
    <w:rsid w:val="00124F48"/>
    <w:rsid w:val="00131005"/>
    <w:rsid w:val="001324BD"/>
    <w:rsid w:val="00136081"/>
    <w:rsid w:val="00137924"/>
    <w:rsid w:val="001450B9"/>
    <w:rsid w:val="0014641C"/>
    <w:rsid w:val="001507FD"/>
    <w:rsid w:val="0015156B"/>
    <w:rsid w:val="00155A15"/>
    <w:rsid w:val="00157433"/>
    <w:rsid w:val="001615E8"/>
    <w:rsid w:val="00166BD6"/>
    <w:rsid w:val="00174402"/>
    <w:rsid w:val="001814A5"/>
    <w:rsid w:val="0019028C"/>
    <w:rsid w:val="00192D58"/>
    <w:rsid w:val="001959F3"/>
    <w:rsid w:val="001A557B"/>
    <w:rsid w:val="001C1435"/>
    <w:rsid w:val="001C33B2"/>
    <w:rsid w:val="001C6EA8"/>
    <w:rsid w:val="001D2A3D"/>
    <w:rsid w:val="001E0FEF"/>
    <w:rsid w:val="001E346A"/>
    <w:rsid w:val="001E423A"/>
    <w:rsid w:val="001F3411"/>
    <w:rsid w:val="001F569F"/>
    <w:rsid w:val="001F5739"/>
    <w:rsid w:val="00203C56"/>
    <w:rsid w:val="0021723A"/>
    <w:rsid w:val="002224C9"/>
    <w:rsid w:val="002247E6"/>
    <w:rsid w:val="0024693C"/>
    <w:rsid w:val="00247B70"/>
    <w:rsid w:val="00260C88"/>
    <w:rsid w:val="00265D8B"/>
    <w:rsid w:val="00271A76"/>
    <w:rsid w:val="00273F8E"/>
    <w:rsid w:val="00275893"/>
    <w:rsid w:val="00277478"/>
    <w:rsid w:val="00280761"/>
    <w:rsid w:val="002935A7"/>
    <w:rsid w:val="002947B4"/>
    <w:rsid w:val="00297B35"/>
    <w:rsid w:val="002A225A"/>
    <w:rsid w:val="002A4651"/>
    <w:rsid w:val="002A5A23"/>
    <w:rsid w:val="002C1BF3"/>
    <w:rsid w:val="002C466C"/>
    <w:rsid w:val="002D1F29"/>
    <w:rsid w:val="002E01FE"/>
    <w:rsid w:val="002F6AF6"/>
    <w:rsid w:val="00304DC2"/>
    <w:rsid w:val="00310A1D"/>
    <w:rsid w:val="00322EE4"/>
    <w:rsid w:val="00333A91"/>
    <w:rsid w:val="00333EE4"/>
    <w:rsid w:val="003416FE"/>
    <w:rsid w:val="00344B2C"/>
    <w:rsid w:val="003556E4"/>
    <w:rsid w:val="003619F0"/>
    <w:rsid w:val="00361D92"/>
    <w:rsid w:val="003707D8"/>
    <w:rsid w:val="00372E26"/>
    <w:rsid w:val="00373147"/>
    <w:rsid w:val="00373318"/>
    <w:rsid w:val="003737C4"/>
    <w:rsid w:val="00375A41"/>
    <w:rsid w:val="00393BFE"/>
    <w:rsid w:val="00394F5A"/>
    <w:rsid w:val="003A3844"/>
    <w:rsid w:val="003A6AE4"/>
    <w:rsid w:val="003B0344"/>
    <w:rsid w:val="003B5B45"/>
    <w:rsid w:val="003B7C6A"/>
    <w:rsid w:val="003C4485"/>
    <w:rsid w:val="003C48C7"/>
    <w:rsid w:val="003C4A06"/>
    <w:rsid w:val="003C5EC6"/>
    <w:rsid w:val="003D4D3F"/>
    <w:rsid w:val="003E3FDE"/>
    <w:rsid w:val="003E6443"/>
    <w:rsid w:val="003E6814"/>
    <w:rsid w:val="003F16AA"/>
    <w:rsid w:val="003F19BB"/>
    <w:rsid w:val="003F24C3"/>
    <w:rsid w:val="00402CF9"/>
    <w:rsid w:val="00411581"/>
    <w:rsid w:val="004121CD"/>
    <w:rsid w:val="004203EC"/>
    <w:rsid w:val="00423FC4"/>
    <w:rsid w:val="00423FEF"/>
    <w:rsid w:val="00426235"/>
    <w:rsid w:val="00432507"/>
    <w:rsid w:val="00434574"/>
    <w:rsid w:val="004377FC"/>
    <w:rsid w:val="00440577"/>
    <w:rsid w:val="0044228B"/>
    <w:rsid w:val="0044347B"/>
    <w:rsid w:val="00450CBB"/>
    <w:rsid w:val="00454145"/>
    <w:rsid w:val="00462F6F"/>
    <w:rsid w:val="00463E95"/>
    <w:rsid w:val="00486E53"/>
    <w:rsid w:val="00497778"/>
    <w:rsid w:val="004A17EF"/>
    <w:rsid w:val="004A2574"/>
    <w:rsid w:val="004A6BC9"/>
    <w:rsid w:val="004B0F6E"/>
    <w:rsid w:val="004B4D55"/>
    <w:rsid w:val="004B5296"/>
    <w:rsid w:val="004C424D"/>
    <w:rsid w:val="004D6BB5"/>
    <w:rsid w:val="004E224B"/>
    <w:rsid w:val="004F1388"/>
    <w:rsid w:val="004F4734"/>
    <w:rsid w:val="004F70CE"/>
    <w:rsid w:val="00516C67"/>
    <w:rsid w:val="00520BC2"/>
    <w:rsid w:val="005254F3"/>
    <w:rsid w:val="005346EC"/>
    <w:rsid w:val="0054177C"/>
    <w:rsid w:val="00562ADE"/>
    <w:rsid w:val="00570C71"/>
    <w:rsid w:val="00577C22"/>
    <w:rsid w:val="005A28DB"/>
    <w:rsid w:val="005A2D84"/>
    <w:rsid w:val="005A43BF"/>
    <w:rsid w:val="005A5B6F"/>
    <w:rsid w:val="005B5BC1"/>
    <w:rsid w:val="005B71D2"/>
    <w:rsid w:val="005C5EB7"/>
    <w:rsid w:val="005C6CA0"/>
    <w:rsid w:val="005D0AF8"/>
    <w:rsid w:val="005E0901"/>
    <w:rsid w:val="005E4A91"/>
    <w:rsid w:val="005E6368"/>
    <w:rsid w:val="005E687F"/>
    <w:rsid w:val="005F0EAB"/>
    <w:rsid w:val="005F5FBF"/>
    <w:rsid w:val="00613634"/>
    <w:rsid w:val="00621C28"/>
    <w:rsid w:val="0063250B"/>
    <w:rsid w:val="00634920"/>
    <w:rsid w:val="0063718E"/>
    <w:rsid w:val="00651624"/>
    <w:rsid w:val="00652936"/>
    <w:rsid w:val="006549D7"/>
    <w:rsid w:val="006563E0"/>
    <w:rsid w:val="006617A3"/>
    <w:rsid w:val="00665FF8"/>
    <w:rsid w:val="00673E8D"/>
    <w:rsid w:val="006740A6"/>
    <w:rsid w:val="006800A7"/>
    <w:rsid w:val="0068583A"/>
    <w:rsid w:val="00685B99"/>
    <w:rsid w:val="00686335"/>
    <w:rsid w:val="00694C4C"/>
    <w:rsid w:val="00696794"/>
    <w:rsid w:val="006B4E8D"/>
    <w:rsid w:val="006C47BB"/>
    <w:rsid w:val="006D0A21"/>
    <w:rsid w:val="006D233C"/>
    <w:rsid w:val="006D39BA"/>
    <w:rsid w:val="006D6056"/>
    <w:rsid w:val="006E18C2"/>
    <w:rsid w:val="006F1FDB"/>
    <w:rsid w:val="006F5EE7"/>
    <w:rsid w:val="0070051F"/>
    <w:rsid w:val="007054A5"/>
    <w:rsid w:val="0070609F"/>
    <w:rsid w:val="00712546"/>
    <w:rsid w:val="00721919"/>
    <w:rsid w:val="00721DFC"/>
    <w:rsid w:val="0072528C"/>
    <w:rsid w:val="00734864"/>
    <w:rsid w:val="00741D3D"/>
    <w:rsid w:val="00750AB1"/>
    <w:rsid w:val="00771AAE"/>
    <w:rsid w:val="00773E8E"/>
    <w:rsid w:val="0078524D"/>
    <w:rsid w:val="00796BCF"/>
    <w:rsid w:val="00797B39"/>
    <w:rsid w:val="007B0048"/>
    <w:rsid w:val="007B175B"/>
    <w:rsid w:val="007C2091"/>
    <w:rsid w:val="007E0FE6"/>
    <w:rsid w:val="007E6B53"/>
    <w:rsid w:val="00802575"/>
    <w:rsid w:val="0081523C"/>
    <w:rsid w:val="00817565"/>
    <w:rsid w:val="008349A1"/>
    <w:rsid w:val="008366D3"/>
    <w:rsid w:val="00836CA5"/>
    <w:rsid w:val="008406E8"/>
    <w:rsid w:val="008605B9"/>
    <w:rsid w:val="00861E12"/>
    <w:rsid w:val="00873D90"/>
    <w:rsid w:val="00873DB3"/>
    <w:rsid w:val="0087448C"/>
    <w:rsid w:val="00875930"/>
    <w:rsid w:val="0087764B"/>
    <w:rsid w:val="0089289C"/>
    <w:rsid w:val="0089439A"/>
    <w:rsid w:val="00896C08"/>
    <w:rsid w:val="00897435"/>
    <w:rsid w:val="008A2EF5"/>
    <w:rsid w:val="008C0230"/>
    <w:rsid w:val="008C1C74"/>
    <w:rsid w:val="008C50A4"/>
    <w:rsid w:val="008C569B"/>
    <w:rsid w:val="008D6D49"/>
    <w:rsid w:val="008E168C"/>
    <w:rsid w:val="008E5C90"/>
    <w:rsid w:val="008F02DD"/>
    <w:rsid w:val="008F25A8"/>
    <w:rsid w:val="008F2B2A"/>
    <w:rsid w:val="008F7C44"/>
    <w:rsid w:val="00902184"/>
    <w:rsid w:val="009025B1"/>
    <w:rsid w:val="00905C4A"/>
    <w:rsid w:val="00914438"/>
    <w:rsid w:val="009149A2"/>
    <w:rsid w:val="009229E6"/>
    <w:rsid w:val="00922AAB"/>
    <w:rsid w:val="00926A90"/>
    <w:rsid w:val="00926AB6"/>
    <w:rsid w:val="0092718E"/>
    <w:rsid w:val="009366F4"/>
    <w:rsid w:val="009408DF"/>
    <w:rsid w:val="009413EB"/>
    <w:rsid w:val="009524C9"/>
    <w:rsid w:val="00954C9D"/>
    <w:rsid w:val="00954F18"/>
    <w:rsid w:val="00964015"/>
    <w:rsid w:val="00990974"/>
    <w:rsid w:val="00992B0B"/>
    <w:rsid w:val="00995968"/>
    <w:rsid w:val="00995F42"/>
    <w:rsid w:val="009A4D99"/>
    <w:rsid w:val="009B3038"/>
    <w:rsid w:val="009D255D"/>
    <w:rsid w:val="009D334F"/>
    <w:rsid w:val="009D49DE"/>
    <w:rsid w:val="009E111A"/>
    <w:rsid w:val="009E5570"/>
    <w:rsid w:val="009E70D0"/>
    <w:rsid w:val="009F772C"/>
    <w:rsid w:val="00A0798E"/>
    <w:rsid w:val="00A2457F"/>
    <w:rsid w:val="00A345EE"/>
    <w:rsid w:val="00A35CF7"/>
    <w:rsid w:val="00A36007"/>
    <w:rsid w:val="00A436EF"/>
    <w:rsid w:val="00A437EA"/>
    <w:rsid w:val="00A46B4F"/>
    <w:rsid w:val="00A5623B"/>
    <w:rsid w:val="00A66A7F"/>
    <w:rsid w:val="00A70D14"/>
    <w:rsid w:val="00A74180"/>
    <w:rsid w:val="00A75E75"/>
    <w:rsid w:val="00A80648"/>
    <w:rsid w:val="00A87038"/>
    <w:rsid w:val="00A90481"/>
    <w:rsid w:val="00A9277B"/>
    <w:rsid w:val="00A97904"/>
    <w:rsid w:val="00AB18BB"/>
    <w:rsid w:val="00AB1B80"/>
    <w:rsid w:val="00AB58A9"/>
    <w:rsid w:val="00AB5D54"/>
    <w:rsid w:val="00AC7D94"/>
    <w:rsid w:val="00AE1F4B"/>
    <w:rsid w:val="00AE49B2"/>
    <w:rsid w:val="00AE560B"/>
    <w:rsid w:val="00AE5FE7"/>
    <w:rsid w:val="00AF44C9"/>
    <w:rsid w:val="00AF5B08"/>
    <w:rsid w:val="00B026E8"/>
    <w:rsid w:val="00B07240"/>
    <w:rsid w:val="00B3137D"/>
    <w:rsid w:val="00B33B2F"/>
    <w:rsid w:val="00B40C16"/>
    <w:rsid w:val="00B44428"/>
    <w:rsid w:val="00B452EA"/>
    <w:rsid w:val="00B4596B"/>
    <w:rsid w:val="00B6050D"/>
    <w:rsid w:val="00B64453"/>
    <w:rsid w:val="00B660A6"/>
    <w:rsid w:val="00B70EFD"/>
    <w:rsid w:val="00B7173B"/>
    <w:rsid w:val="00B77216"/>
    <w:rsid w:val="00B808DF"/>
    <w:rsid w:val="00B80B75"/>
    <w:rsid w:val="00B8697A"/>
    <w:rsid w:val="00B96E57"/>
    <w:rsid w:val="00BA08BE"/>
    <w:rsid w:val="00BA1A9C"/>
    <w:rsid w:val="00BB464D"/>
    <w:rsid w:val="00BC554A"/>
    <w:rsid w:val="00BD3AC7"/>
    <w:rsid w:val="00BD5305"/>
    <w:rsid w:val="00BD7F68"/>
    <w:rsid w:val="00BE5875"/>
    <w:rsid w:val="00BF640A"/>
    <w:rsid w:val="00C22DF3"/>
    <w:rsid w:val="00C32293"/>
    <w:rsid w:val="00C332C0"/>
    <w:rsid w:val="00C3679E"/>
    <w:rsid w:val="00C37085"/>
    <w:rsid w:val="00C4374D"/>
    <w:rsid w:val="00C45F93"/>
    <w:rsid w:val="00C54ABB"/>
    <w:rsid w:val="00C648BA"/>
    <w:rsid w:val="00C64989"/>
    <w:rsid w:val="00C70883"/>
    <w:rsid w:val="00C72D11"/>
    <w:rsid w:val="00C7762F"/>
    <w:rsid w:val="00C92CA9"/>
    <w:rsid w:val="00CA3FA7"/>
    <w:rsid w:val="00CA4FB8"/>
    <w:rsid w:val="00CB0A54"/>
    <w:rsid w:val="00CB0E87"/>
    <w:rsid w:val="00CB0FFE"/>
    <w:rsid w:val="00CB56DE"/>
    <w:rsid w:val="00CC7AAD"/>
    <w:rsid w:val="00CD1085"/>
    <w:rsid w:val="00CD345C"/>
    <w:rsid w:val="00CD46E2"/>
    <w:rsid w:val="00CD5C6F"/>
    <w:rsid w:val="00CE5013"/>
    <w:rsid w:val="00CF63DD"/>
    <w:rsid w:val="00CF6563"/>
    <w:rsid w:val="00D064ED"/>
    <w:rsid w:val="00D142AA"/>
    <w:rsid w:val="00D14B4E"/>
    <w:rsid w:val="00D15762"/>
    <w:rsid w:val="00D17D63"/>
    <w:rsid w:val="00D210BA"/>
    <w:rsid w:val="00D32959"/>
    <w:rsid w:val="00D351CE"/>
    <w:rsid w:val="00D414ED"/>
    <w:rsid w:val="00D57663"/>
    <w:rsid w:val="00D60356"/>
    <w:rsid w:val="00D6450E"/>
    <w:rsid w:val="00D65A85"/>
    <w:rsid w:val="00D723AA"/>
    <w:rsid w:val="00D74492"/>
    <w:rsid w:val="00D744DF"/>
    <w:rsid w:val="00D77328"/>
    <w:rsid w:val="00D810A1"/>
    <w:rsid w:val="00D848B5"/>
    <w:rsid w:val="00D87F28"/>
    <w:rsid w:val="00D91014"/>
    <w:rsid w:val="00D959AB"/>
    <w:rsid w:val="00DA7ECF"/>
    <w:rsid w:val="00DC52A6"/>
    <w:rsid w:val="00DF510C"/>
    <w:rsid w:val="00DF670F"/>
    <w:rsid w:val="00E10101"/>
    <w:rsid w:val="00E22F80"/>
    <w:rsid w:val="00E3523B"/>
    <w:rsid w:val="00E37259"/>
    <w:rsid w:val="00E37C20"/>
    <w:rsid w:val="00E54507"/>
    <w:rsid w:val="00E55019"/>
    <w:rsid w:val="00E614D7"/>
    <w:rsid w:val="00E61D8C"/>
    <w:rsid w:val="00E63402"/>
    <w:rsid w:val="00E6727A"/>
    <w:rsid w:val="00E70043"/>
    <w:rsid w:val="00E765F6"/>
    <w:rsid w:val="00E977C7"/>
    <w:rsid w:val="00EA098E"/>
    <w:rsid w:val="00EA25D5"/>
    <w:rsid w:val="00EA42A1"/>
    <w:rsid w:val="00EB400E"/>
    <w:rsid w:val="00EB60E4"/>
    <w:rsid w:val="00EB7468"/>
    <w:rsid w:val="00EC366F"/>
    <w:rsid w:val="00ED50C8"/>
    <w:rsid w:val="00ED5524"/>
    <w:rsid w:val="00ED6082"/>
    <w:rsid w:val="00ED7B0A"/>
    <w:rsid w:val="00EE0ACA"/>
    <w:rsid w:val="00EE2C01"/>
    <w:rsid w:val="00EE3321"/>
    <w:rsid w:val="00EE43E1"/>
    <w:rsid w:val="00EF423B"/>
    <w:rsid w:val="00EF4DD3"/>
    <w:rsid w:val="00F0396A"/>
    <w:rsid w:val="00F05EFD"/>
    <w:rsid w:val="00F07B1C"/>
    <w:rsid w:val="00F07E3B"/>
    <w:rsid w:val="00F11BDD"/>
    <w:rsid w:val="00F21469"/>
    <w:rsid w:val="00F21BC2"/>
    <w:rsid w:val="00F244E9"/>
    <w:rsid w:val="00F255C6"/>
    <w:rsid w:val="00F26134"/>
    <w:rsid w:val="00F304AF"/>
    <w:rsid w:val="00F33EA1"/>
    <w:rsid w:val="00F34D2D"/>
    <w:rsid w:val="00F43C53"/>
    <w:rsid w:val="00F447BC"/>
    <w:rsid w:val="00F456FB"/>
    <w:rsid w:val="00F537D4"/>
    <w:rsid w:val="00F545F6"/>
    <w:rsid w:val="00F63204"/>
    <w:rsid w:val="00F65095"/>
    <w:rsid w:val="00F717ED"/>
    <w:rsid w:val="00F737BE"/>
    <w:rsid w:val="00F804E6"/>
    <w:rsid w:val="00F865B1"/>
    <w:rsid w:val="00FA2205"/>
    <w:rsid w:val="00FA7C59"/>
    <w:rsid w:val="00FB0B7F"/>
    <w:rsid w:val="00FB3164"/>
    <w:rsid w:val="00FB3BDE"/>
    <w:rsid w:val="00FB6EAB"/>
    <w:rsid w:val="00FC227C"/>
    <w:rsid w:val="00FC28F1"/>
    <w:rsid w:val="00FC6D66"/>
    <w:rsid w:val="00FD432D"/>
    <w:rsid w:val="00FD4C03"/>
    <w:rsid w:val="00FD765E"/>
    <w:rsid w:val="00FE08C1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2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19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1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C2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19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1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1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1056</Characters>
  <Application>Microsoft Office Word</Application>
  <DocSecurity>0</DocSecurity>
  <Lines>8</Lines>
  <Paragraphs>2</Paragraphs>
  <ScaleCrop>false</ScaleCrop>
  <Company>Lenovo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史龙虎</dc:creator>
  <cp:lastModifiedBy>史龙虎</cp:lastModifiedBy>
  <cp:revision>33</cp:revision>
  <dcterms:created xsi:type="dcterms:W3CDTF">2019-09-10T06:31:00Z</dcterms:created>
  <dcterms:modified xsi:type="dcterms:W3CDTF">2020-09-07T09:24:00Z</dcterms:modified>
</cp:coreProperties>
</file>