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szCs w:val="28"/>
          <w:lang w:eastAsia="zh-CN"/>
        </w:rPr>
      </w:pPr>
      <w:r>
        <w:rPr>
          <w:rFonts w:hint="eastAsia"/>
          <w:b/>
          <w:sz w:val="28"/>
          <w:szCs w:val="28"/>
        </w:rPr>
        <w:t>开源证券股份有限公司融资融券合同修订对照表</w:t>
      </w:r>
      <w:r>
        <w:rPr>
          <w:rFonts w:hint="eastAsia"/>
          <w:b/>
          <w:sz w:val="28"/>
          <w:szCs w:val="28"/>
          <w:lang w:eastAsia="zh-CN"/>
        </w:rPr>
        <w:t>（</w:t>
      </w:r>
      <w:r>
        <w:rPr>
          <w:rFonts w:hint="eastAsia"/>
          <w:b/>
          <w:sz w:val="28"/>
          <w:szCs w:val="28"/>
          <w:lang w:val="en-US" w:eastAsia="zh-CN"/>
        </w:rPr>
        <w:t>2022年12月</w:t>
      </w:r>
      <w:bookmarkStart w:id="0" w:name="_GoBack"/>
      <w:bookmarkEnd w:id="0"/>
      <w:r>
        <w:rPr>
          <w:rFonts w:hint="eastAsia"/>
          <w:b/>
          <w:sz w:val="28"/>
          <w:szCs w:val="28"/>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原条款</w:t>
            </w:r>
          </w:p>
        </w:tc>
        <w:tc>
          <w:tcPr>
            <w:tcW w:w="4148" w:type="dxa"/>
            <w:tcBorders>
              <w:top w:val="single" w:color="auto" w:sz="4" w:space="0"/>
              <w:left w:val="single" w:color="auto" w:sz="4" w:space="0"/>
              <w:bottom w:val="single" w:color="auto" w:sz="4" w:space="0"/>
              <w:right w:val="single" w:color="auto" w:sz="4" w:space="0"/>
            </w:tcBorders>
          </w:tcPr>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修订后条款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489" w:firstLineChars="204"/>
              <w:rPr>
                <w:rFonts w:ascii="宋体" w:hAnsi="宋体"/>
                <w:sz w:val="24"/>
              </w:rPr>
            </w:pPr>
            <w:r>
              <w:rPr>
                <w:rFonts w:hint="eastAsia" w:ascii="宋体" w:hAnsi="宋体"/>
                <w:sz w:val="24"/>
              </w:rPr>
              <w:t>依照《中华人民共和国证券法》、《中华人民共和国民法典》、《中华人民共和国信托法》等法律，依据《证券公司融资融券业务管理办法》、《上海证券交易所融资融券交易实施细则》、《深圳证券交易所融资融券业务实施细则》、</w:t>
            </w:r>
            <w:r>
              <w:rPr>
                <w:rFonts w:ascii="宋体" w:hAnsi="宋体"/>
                <w:bCs/>
                <w:sz w:val="24"/>
              </w:rPr>
              <w:t>《中国证券登记结算有限责任公司融资融券登记结算业务实施细则》</w:t>
            </w:r>
            <w:r>
              <w:rPr>
                <w:rFonts w:hint="eastAsia" w:ascii="宋体" w:hAnsi="宋体"/>
                <w:bCs/>
                <w:sz w:val="24"/>
              </w:rPr>
              <w:t>、《融资融券合同必备条款》、《上海证券交易所科创板股票交易特别规定》、《深圳证券交易所创业板交易特别规定》等规定</w:t>
            </w:r>
            <w:r>
              <w:rPr>
                <w:rFonts w:hint="eastAsia" w:ascii="宋体" w:hAnsi="宋体"/>
                <w:sz w:val="24"/>
              </w:rPr>
              <w:t>，甲乙双方在平等、自愿、诚实信用的基础上，就乙方为甲方提供融资融券服务的相关事宜，达成如下合同，供双方共同遵守。</w:t>
            </w:r>
          </w:p>
          <w:p>
            <w:pPr>
              <w:tabs>
                <w:tab w:val="left" w:pos="0"/>
                <w:tab w:val="left" w:pos="180"/>
              </w:tabs>
              <w:spacing w:line="400" w:lineRule="exact"/>
              <w:ind w:right="25" w:rightChars="12" w:firstLine="360" w:firstLineChars="200"/>
              <w:rPr>
                <w:color w:val="000000" w:themeColor="text1"/>
                <w:sz w:val="18"/>
                <w:szCs w:val="18"/>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489" w:firstLineChars="204"/>
              <w:rPr>
                <w:rFonts w:ascii="宋体" w:hAnsi="宋体"/>
                <w:sz w:val="24"/>
              </w:rPr>
            </w:pPr>
            <w:r>
              <w:rPr>
                <w:rFonts w:hint="eastAsia" w:ascii="宋体" w:hAnsi="宋体"/>
                <w:sz w:val="24"/>
              </w:rPr>
              <w:t>依照《中华人民共和国证券法》《中华人民共和国民法典》《中华人民共和国信托法》等法律，依据《证券公司融资融券业务管理办法》《上海证券交易所融资融券交易实施细则》</w:t>
            </w:r>
            <w:r>
              <w:rPr>
                <w:rFonts w:hint="eastAsia" w:ascii="宋体" w:hAnsi="宋体"/>
                <w:b/>
                <w:bCs/>
                <w:sz w:val="24"/>
              </w:rPr>
              <w:t>《深圳证券交易所融资融券</w:t>
            </w:r>
            <w:r>
              <w:rPr>
                <w:rFonts w:hint="eastAsia" w:ascii="宋体" w:hAnsi="宋体"/>
                <w:b/>
                <w:bCs/>
                <w:sz w:val="24"/>
                <w:lang w:eastAsia="zh-CN"/>
              </w:rPr>
              <w:t>交易</w:t>
            </w:r>
            <w:r>
              <w:rPr>
                <w:rFonts w:hint="eastAsia" w:ascii="宋体" w:hAnsi="宋体"/>
                <w:b/>
                <w:bCs/>
                <w:sz w:val="24"/>
              </w:rPr>
              <w:t>实施细则》</w:t>
            </w:r>
            <w:r>
              <w:rPr>
                <w:rFonts w:hint="eastAsia" w:ascii="宋体" w:hAnsi="宋体"/>
                <w:b/>
                <w:bCs/>
                <w:sz w:val="24"/>
                <w:lang w:eastAsia="zh-CN"/>
              </w:rPr>
              <w:t>《北京证券交易所融资融券交易细则》</w:t>
            </w:r>
            <w:r>
              <w:rPr>
                <w:rFonts w:ascii="宋体" w:hAnsi="宋体"/>
                <w:bCs/>
                <w:sz w:val="24"/>
              </w:rPr>
              <w:t>《中国证券登记结算有限责任公司融资融券登记结算业务实施细则》</w:t>
            </w:r>
            <w:r>
              <w:rPr>
                <w:rFonts w:hint="eastAsia" w:ascii="宋体" w:hAnsi="宋体"/>
                <w:bCs/>
                <w:sz w:val="24"/>
              </w:rPr>
              <w:t>《融资融券合同必备条款》《上海证券交易所科创板股票交易特别规定》《深圳证券交易所创业板交易特别规定》等规定</w:t>
            </w:r>
            <w:r>
              <w:rPr>
                <w:rFonts w:hint="eastAsia" w:ascii="宋体" w:hAnsi="宋体"/>
                <w:sz w:val="24"/>
              </w:rPr>
              <w:t>，甲乙双方在平等、自愿、诚实信用的基础上，就乙方为甲方提供融资融券服务的相关事宜，达成如下合同，供双方共同遵守。</w:t>
            </w:r>
          </w:p>
          <w:p>
            <w:pPr>
              <w:tabs>
                <w:tab w:val="left" w:pos="0"/>
                <w:tab w:val="left" w:pos="180"/>
              </w:tabs>
              <w:spacing w:line="400" w:lineRule="exact"/>
              <w:ind w:right="25" w:rightChars="12" w:firstLine="360" w:firstLineChars="20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482" w:firstLineChars="200"/>
              <w:outlineLvl w:val="0"/>
              <w:rPr>
                <w:rFonts w:ascii="宋体" w:hAnsi="宋体"/>
                <w:b/>
                <w:sz w:val="24"/>
              </w:rPr>
            </w:pPr>
            <w:r>
              <w:rPr>
                <w:rFonts w:hint="eastAsia" w:ascii="宋体" w:hAnsi="宋体"/>
                <w:b/>
                <w:sz w:val="24"/>
              </w:rPr>
              <w:t>第二条 双方声明与保证</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（一）甲方向乙方作如下声明与保证：</w:t>
            </w:r>
          </w:p>
          <w:p>
            <w:pPr>
              <w:tabs>
                <w:tab w:val="left" w:pos="0"/>
                <w:tab w:val="left" w:pos="180"/>
              </w:tabs>
              <w:spacing w:line="400" w:lineRule="exact"/>
              <w:ind w:right="25" w:rightChars="12" w:firstLine="489" w:firstLineChars="204"/>
              <w:rPr>
                <w:rFonts w:hint="eastAsia" w:ascii="宋体" w:hAnsi="宋体"/>
                <w:sz w:val="24"/>
              </w:rPr>
            </w:pPr>
            <w:r>
              <w:rPr>
                <w:rFonts w:hint="eastAsia" w:ascii="宋体" w:hAnsi="宋体"/>
                <w:sz w:val="24"/>
              </w:rPr>
              <w:t>1、甲方具有合法的融资融券交易主体资格，不存在法律、法规、规章及其他规范性文件等禁止或限制从事融资融券交易的情形。</w:t>
            </w:r>
          </w:p>
          <w:p>
            <w:pPr>
              <w:tabs>
                <w:tab w:val="left" w:pos="0"/>
                <w:tab w:val="left" w:pos="180"/>
              </w:tabs>
              <w:spacing w:line="400" w:lineRule="exact"/>
              <w:ind w:right="25" w:rightChars="12" w:firstLine="482" w:firstLineChars="200"/>
              <w:rPr>
                <w:rFonts w:hint="eastAsia" w:ascii="宋体" w:hAnsi="宋体"/>
                <w:b/>
                <w:sz w:val="24"/>
              </w:rPr>
            </w:pPr>
            <w:r>
              <w:rPr>
                <w:rFonts w:hint="eastAsia" w:ascii="宋体" w:hAnsi="宋体"/>
                <w:b/>
                <w:sz w:val="24"/>
              </w:rPr>
              <w:t>……</w:t>
            </w:r>
          </w:p>
          <w:p>
            <w:pPr>
              <w:tabs>
                <w:tab w:val="left" w:pos="0"/>
                <w:tab w:val="left" w:pos="180"/>
                <w:tab w:val="left" w:pos="600"/>
              </w:tabs>
              <w:spacing w:line="400" w:lineRule="exact"/>
              <w:ind w:right="25" w:rightChars="12" w:firstLine="489" w:firstLineChars="204"/>
              <w:rPr>
                <w:rFonts w:hint="eastAsia" w:ascii="宋体" w:hAnsi="宋体"/>
                <w:sz w:val="24"/>
              </w:rPr>
            </w:pPr>
            <w:r>
              <w:rPr>
                <w:rFonts w:hint="eastAsia" w:ascii="宋体" w:hAnsi="宋体"/>
                <w:sz w:val="24"/>
              </w:rPr>
              <w:t>14、甲方保证在本合同有效期内维持前述声明和保证始终真实、有效。</w:t>
            </w:r>
          </w:p>
          <w:p>
            <w:pPr>
              <w:tabs>
                <w:tab w:val="left" w:pos="0"/>
                <w:tab w:val="left" w:pos="180"/>
              </w:tabs>
              <w:spacing w:line="400" w:lineRule="exact"/>
              <w:ind w:right="25" w:rightChars="12" w:firstLine="489" w:firstLineChars="204"/>
              <w:rPr>
                <w:rFonts w:hint="eastAsia" w:ascii="宋体" w:hAnsi="宋体"/>
                <w:sz w:val="24"/>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482" w:firstLineChars="200"/>
              <w:outlineLvl w:val="0"/>
              <w:rPr>
                <w:rFonts w:ascii="宋体" w:hAnsi="宋体"/>
                <w:b/>
                <w:sz w:val="24"/>
              </w:rPr>
            </w:pPr>
            <w:r>
              <w:rPr>
                <w:rFonts w:hint="eastAsia" w:ascii="宋体" w:hAnsi="宋体"/>
                <w:b/>
                <w:sz w:val="24"/>
              </w:rPr>
              <w:t>第二条 双方声明与保证</w:t>
            </w:r>
          </w:p>
          <w:p>
            <w:pPr>
              <w:tabs>
                <w:tab w:val="left" w:pos="0"/>
                <w:tab w:val="left" w:pos="180"/>
              </w:tabs>
              <w:spacing w:line="400" w:lineRule="exact"/>
              <w:ind w:right="25" w:rightChars="12" w:firstLine="480" w:firstLineChars="200"/>
              <w:rPr>
                <w:rFonts w:ascii="宋体" w:hAnsi="宋体"/>
                <w:sz w:val="24"/>
              </w:rPr>
            </w:pPr>
            <w:r>
              <w:rPr>
                <w:rFonts w:hint="eastAsia" w:ascii="宋体" w:hAnsi="宋体"/>
                <w:sz w:val="24"/>
              </w:rPr>
              <w:t>（一）甲方向乙方作如下声明与保证：</w:t>
            </w:r>
          </w:p>
          <w:p>
            <w:pPr>
              <w:tabs>
                <w:tab w:val="left" w:pos="0"/>
                <w:tab w:val="left" w:pos="180"/>
              </w:tabs>
              <w:spacing w:line="400" w:lineRule="exact"/>
              <w:ind w:right="25" w:rightChars="12" w:firstLine="489" w:firstLineChars="204"/>
              <w:rPr>
                <w:rFonts w:hint="eastAsia" w:ascii="宋体" w:hAnsi="宋体"/>
                <w:sz w:val="24"/>
              </w:rPr>
            </w:pPr>
            <w:r>
              <w:rPr>
                <w:rFonts w:hint="eastAsia" w:ascii="宋体" w:hAnsi="宋体"/>
                <w:sz w:val="24"/>
              </w:rPr>
              <w:t>1、甲方具有合法的融资融券交易主体资格，不存在法律、法规、规章及其他规范性文件等禁止或限制从事融资融券交易的情形。</w:t>
            </w:r>
          </w:p>
          <w:p>
            <w:pPr>
              <w:tabs>
                <w:tab w:val="left" w:pos="0"/>
                <w:tab w:val="left" w:pos="180"/>
              </w:tabs>
              <w:spacing w:line="400" w:lineRule="exact"/>
              <w:ind w:right="25" w:rightChars="12" w:firstLine="482" w:firstLineChars="200"/>
              <w:rPr>
                <w:rFonts w:hint="eastAsia" w:ascii="宋体" w:hAnsi="宋体"/>
                <w:b/>
                <w:sz w:val="24"/>
              </w:rPr>
            </w:pPr>
            <w:r>
              <w:rPr>
                <w:rFonts w:hint="eastAsia" w:ascii="宋体" w:hAnsi="宋体"/>
                <w:b/>
                <w:sz w:val="24"/>
              </w:rPr>
              <w:t>……</w:t>
            </w:r>
          </w:p>
          <w:p>
            <w:pPr>
              <w:tabs>
                <w:tab w:val="left" w:pos="0"/>
                <w:tab w:val="left" w:pos="180"/>
                <w:tab w:val="left" w:pos="600"/>
              </w:tabs>
              <w:spacing w:line="400" w:lineRule="exact"/>
              <w:ind w:right="25" w:rightChars="12" w:firstLine="489" w:firstLineChars="204"/>
              <w:rPr>
                <w:rFonts w:hint="eastAsia" w:ascii="宋体" w:hAnsi="宋体"/>
                <w:sz w:val="24"/>
              </w:rPr>
            </w:pPr>
            <w:r>
              <w:rPr>
                <w:rFonts w:hint="eastAsia" w:ascii="宋体" w:hAnsi="宋体"/>
                <w:sz w:val="24"/>
              </w:rPr>
              <w:t>14、甲方保证在本合同有效期内维持前述声明和保证始终真实、有效。</w:t>
            </w:r>
          </w:p>
          <w:p>
            <w:pPr>
              <w:tabs>
                <w:tab w:val="left" w:pos="0"/>
                <w:tab w:val="left" w:pos="180"/>
              </w:tabs>
              <w:spacing w:line="400" w:lineRule="exact"/>
              <w:ind w:right="25" w:rightChars="12" w:firstLine="492" w:firstLineChars="204"/>
              <w:rPr>
                <w:rFonts w:hint="eastAsia" w:ascii="宋体" w:hAnsi="宋体"/>
                <w:sz w:val="24"/>
              </w:rPr>
            </w:pPr>
            <w:r>
              <w:rPr>
                <w:rFonts w:hint="eastAsia" w:ascii="宋体" w:hAnsi="宋体"/>
                <w:b/>
                <w:bCs/>
                <w:sz w:val="24"/>
                <w:lang w:val="en-US" w:eastAsia="zh-CN"/>
              </w:rPr>
              <w:t>15、当甲方为个人客户时，甲方向乙方保证其不将本人持有的上市公司在全国中小企业股份转让系统挂牌前取得的股票以及由上述股票孳生的送、转股的证券转入信用账户作为可充抵保证金。当甲方为机构客户时，该条保证不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第六条 保证金、</w:t>
            </w:r>
            <w:r>
              <w:rPr>
                <w:rFonts w:ascii="宋体" w:hAnsi="宋体"/>
                <w:b/>
                <w:sz w:val="24"/>
              </w:rPr>
              <w:t>保证金比例、保证金可用余额、</w:t>
            </w:r>
            <w:r>
              <w:rPr>
                <w:rFonts w:hint="eastAsia" w:ascii="宋体" w:hAnsi="宋体"/>
                <w:b/>
                <w:sz w:val="24"/>
              </w:rPr>
              <w:t>担保物、可</w:t>
            </w:r>
            <w:r>
              <w:rPr>
                <w:rFonts w:ascii="宋体" w:hAnsi="宋体"/>
                <w:b/>
                <w:sz w:val="24"/>
              </w:rPr>
              <w:t>充抵保证金证券范围和折算率、标的证券范围</w:t>
            </w:r>
          </w:p>
          <w:p>
            <w:pPr>
              <w:tabs>
                <w:tab w:val="left" w:pos="0"/>
                <w:tab w:val="left" w:pos="180"/>
              </w:tabs>
              <w:spacing w:line="400" w:lineRule="exact"/>
              <w:ind w:right="25" w:rightChars="12" w:firstLine="482" w:firstLineChars="200"/>
              <w:rPr>
                <w:rFonts w:hint="eastAsia" w:ascii="宋体" w:hAnsi="宋体"/>
                <w:sz w:val="24"/>
              </w:rPr>
            </w:pPr>
            <w:r>
              <w:rPr>
                <w:rFonts w:hint="eastAsia" w:ascii="宋体" w:hAnsi="宋体"/>
                <w:b/>
                <w:sz w:val="24"/>
              </w:rPr>
              <w:t>……</w:t>
            </w:r>
          </w:p>
          <w:p>
            <w:pPr>
              <w:tabs>
                <w:tab w:val="left" w:pos="0"/>
                <w:tab w:val="left" w:pos="180"/>
              </w:tabs>
              <w:spacing w:line="400" w:lineRule="exact"/>
              <w:ind w:right="25" w:rightChars="12" w:firstLine="480" w:firstLineChars="200"/>
              <w:outlineLvl w:val="0"/>
              <w:rPr>
                <w:rFonts w:ascii="宋体" w:hAnsi="宋体"/>
                <w:sz w:val="24"/>
              </w:rPr>
            </w:pPr>
            <w:r>
              <w:rPr>
                <w:rFonts w:hint="eastAsia" w:ascii="宋体" w:hAnsi="宋体"/>
                <w:sz w:val="24"/>
              </w:rPr>
              <w:t>（三）可</w:t>
            </w:r>
            <w:r>
              <w:rPr>
                <w:rFonts w:ascii="宋体" w:hAnsi="宋体"/>
                <w:sz w:val="24"/>
              </w:rPr>
              <w:t>充抵保证金证券范围</w:t>
            </w:r>
            <w:r>
              <w:rPr>
                <w:rFonts w:hint="eastAsia" w:ascii="宋体" w:hAnsi="宋体"/>
                <w:sz w:val="24"/>
              </w:rPr>
              <w:t>及</w:t>
            </w:r>
            <w:r>
              <w:rPr>
                <w:rFonts w:ascii="宋体" w:hAnsi="宋体"/>
                <w:sz w:val="24"/>
              </w:rPr>
              <w:t>折算率、标的证券范围</w:t>
            </w:r>
          </w:p>
          <w:p>
            <w:pPr>
              <w:spacing w:line="400" w:lineRule="exact"/>
              <w:ind w:firstLine="480" w:firstLineChars="200"/>
              <w:rPr>
                <w:rFonts w:ascii="宋体" w:hAnsi="宋体"/>
                <w:sz w:val="24"/>
              </w:rPr>
            </w:pPr>
            <w:r>
              <w:rPr>
                <w:rFonts w:hint="eastAsia" w:ascii="宋体" w:hAnsi="宋体"/>
                <w:sz w:val="24"/>
              </w:rPr>
              <w:t>1、乙方可在交易所公布的标的证券范围内根据市场情况调整标的证券名单。</w:t>
            </w:r>
          </w:p>
          <w:p>
            <w:pPr>
              <w:spacing w:line="400" w:lineRule="exact"/>
              <w:ind w:left="1" w:firstLine="480" w:firstLineChars="200"/>
              <w:rPr>
                <w:rFonts w:ascii="宋体" w:hAnsi="宋体"/>
                <w:sz w:val="24"/>
              </w:rPr>
            </w:pPr>
            <w:r>
              <w:rPr>
                <w:rFonts w:hint="eastAsia" w:ascii="宋体" w:hAnsi="宋体"/>
                <w:sz w:val="24"/>
              </w:rPr>
              <w:t>2、乙方可在交易所公布的可充抵保证金证券范围内根据市场情况调整可充抵保证金证券的名单范围及折算率。</w:t>
            </w:r>
          </w:p>
          <w:p>
            <w:pPr>
              <w:numPr>
                <w:ilvl w:val="0"/>
                <w:numId w:val="0"/>
              </w:numPr>
              <w:tabs>
                <w:tab w:val="left" w:pos="0"/>
                <w:tab w:val="left" w:pos="180"/>
              </w:tabs>
              <w:spacing w:line="400" w:lineRule="exact"/>
              <w:ind w:right="25" w:rightChars="12"/>
              <w:rPr>
                <w:rFonts w:hint="eastAsia" w:ascii="宋体" w:hAnsi="宋体"/>
                <w:b w:val="0"/>
                <w:bCs/>
                <w:sz w:val="24"/>
              </w:rPr>
            </w:pPr>
            <w:r>
              <w:rPr>
                <w:rFonts w:hint="eastAsia" w:ascii="宋体" w:hAnsi="宋体"/>
                <w:sz w:val="24"/>
              </w:rPr>
              <w:t>3、如乙方根据证券交易所的规定，调整乙方可充抵保证金证券范围及折算率、标的证券范围，将通过乙方网站、乙方营业场所、行情与交易系统中任何一种或几种方式进行公告。</w:t>
            </w: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472" w:firstLineChars="196"/>
              <w:rPr>
                <w:rFonts w:ascii="宋体" w:hAnsi="宋体"/>
                <w:b/>
                <w:sz w:val="24"/>
              </w:rPr>
            </w:pPr>
            <w:r>
              <w:rPr>
                <w:rFonts w:hint="eastAsia" w:ascii="宋体" w:hAnsi="宋体"/>
                <w:b/>
                <w:sz w:val="24"/>
              </w:rPr>
              <w:t>第六条 保证金、</w:t>
            </w:r>
            <w:r>
              <w:rPr>
                <w:rFonts w:ascii="宋体" w:hAnsi="宋体"/>
                <w:b/>
                <w:sz w:val="24"/>
              </w:rPr>
              <w:t>保证金比例、保证金可用余额、</w:t>
            </w:r>
            <w:r>
              <w:rPr>
                <w:rFonts w:hint="eastAsia" w:ascii="宋体" w:hAnsi="宋体"/>
                <w:b/>
                <w:sz w:val="24"/>
              </w:rPr>
              <w:t>担保物、可</w:t>
            </w:r>
            <w:r>
              <w:rPr>
                <w:rFonts w:ascii="宋体" w:hAnsi="宋体"/>
                <w:b/>
                <w:sz w:val="24"/>
              </w:rPr>
              <w:t>充抵保证金证券范围和折算率、标的证券范围</w:t>
            </w:r>
          </w:p>
          <w:p>
            <w:pPr>
              <w:tabs>
                <w:tab w:val="left" w:pos="0"/>
                <w:tab w:val="left" w:pos="180"/>
              </w:tabs>
              <w:spacing w:line="400" w:lineRule="exact"/>
              <w:ind w:right="25" w:rightChars="12" w:firstLine="482" w:firstLineChars="200"/>
              <w:rPr>
                <w:rFonts w:hint="eastAsia" w:ascii="宋体" w:hAnsi="宋体"/>
                <w:sz w:val="24"/>
              </w:rPr>
            </w:pPr>
            <w:r>
              <w:rPr>
                <w:rFonts w:hint="eastAsia" w:ascii="宋体" w:hAnsi="宋体"/>
                <w:b/>
                <w:sz w:val="24"/>
              </w:rPr>
              <w:t>……</w:t>
            </w:r>
          </w:p>
          <w:p>
            <w:pPr>
              <w:tabs>
                <w:tab w:val="left" w:pos="0"/>
                <w:tab w:val="left" w:pos="180"/>
              </w:tabs>
              <w:spacing w:line="400" w:lineRule="exact"/>
              <w:ind w:right="25" w:rightChars="12" w:firstLine="480" w:firstLineChars="200"/>
              <w:outlineLvl w:val="0"/>
              <w:rPr>
                <w:rFonts w:ascii="宋体" w:hAnsi="宋体"/>
                <w:sz w:val="24"/>
              </w:rPr>
            </w:pPr>
            <w:r>
              <w:rPr>
                <w:rFonts w:hint="eastAsia" w:ascii="宋体" w:hAnsi="宋体"/>
                <w:sz w:val="24"/>
              </w:rPr>
              <w:t>（三）可</w:t>
            </w:r>
            <w:r>
              <w:rPr>
                <w:rFonts w:ascii="宋体" w:hAnsi="宋体"/>
                <w:sz w:val="24"/>
              </w:rPr>
              <w:t>充抵保证金证券范围</w:t>
            </w:r>
            <w:r>
              <w:rPr>
                <w:rFonts w:hint="eastAsia" w:ascii="宋体" w:hAnsi="宋体"/>
                <w:sz w:val="24"/>
              </w:rPr>
              <w:t>及</w:t>
            </w:r>
            <w:r>
              <w:rPr>
                <w:rFonts w:ascii="宋体" w:hAnsi="宋体"/>
                <w:sz w:val="24"/>
              </w:rPr>
              <w:t>折算率、标的证券范围</w:t>
            </w:r>
          </w:p>
          <w:p>
            <w:pPr>
              <w:spacing w:line="400" w:lineRule="exact"/>
              <w:ind w:firstLine="480" w:firstLineChars="200"/>
              <w:rPr>
                <w:rFonts w:ascii="宋体" w:hAnsi="宋体"/>
                <w:sz w:val="24"/>
              </w:rPr>
            </w:pPr>
            <w:r>
              <w:rPr>
                <w:rFonts w:hint="eastAsia" w:ascii="宋体" w:hAnsi="宋体"/>
                <w:sz w:val="24"/>
              </w:rPr>
              <w:t>1、乙方可在交易所公布的标的证券范围内根据市场情况调整标的证券名单。</w:t>
            </w:r>
          </w:p>
          <w:p>
            <w:pPr>
              <w:spacing w:line="400" w:lineRule="exact"/>
              <w:ind w:left="1" w:firstLine="480" w:firstLineChars="200"/>
              <w:rPr>
                <w:rFonts w:ascii="宋体" w:hAnsi="宋体"/>
                <w:sz w:val="24"/>
              </w:rPr>
            </w:pPr>
            <w:r>
              <w:rPr>
                <w:rFonts w:hint="eastAsia" w:ascii="宋体" w:hAnsi="宋体"/>
                <w:sz w:val="24"/>
              </w:rPr>
              <w:t>2、乙方可在交易所公布的可充抵保证金证券范围内根据市场情况调整可充抵保证金证券的名单范围及折算率。</w:t>
            </w:r>
          </w:p>
          <w:p>
            <w:pPr>
              <w:tabs>
                <w:tab w:val="left" w:pos="0"/>
                <w:tab w:val="left" w:pos="180"/>
              </w:tabs>
              <w:spacing w:line="400" w:lineRule="exact"/>
              <w:ind w:right="25" w:rightChars="12" w:firstLine="489" w:firstLineChars="204"/>
              <w:rPr>
                <w:rFonts w:hint="eastAsia" w:ascii="宋体" w:hAnsi="宋体"/>
                <w:sz w:val="24"/>
              </w:rPr>
            </w:pPr>
            <w:r>
              <w:rPr>
                <w:rFonts w:hint="eastAsia" w:ascii="宋体" w:hAnsi="宋体"/>
                <w:sz w:val="24"/>
              </w:rPr>
              <w:t>3、如乙方根据证券交易所的规定，调整乙方可充抵保证金证券范围及折算率、标的证券范围，将通过乙方网站、乙方营业场所、行情与交易系统中任何一种或几种方式进行公告。</w:t>
            </w:r>
          </w:p>
          <w:p>
            <w:pPr>
              <w:tabs>
                <w:tab w:val="left" w:pos="0"/>
                <w:tab w:val="left" w:pos="180"/>
              </w:tabs>
              <w:spacing w:line="400" w:lineRule="exact"/>
              <w:ind w:right="25" w:rightChars="12" w:firstLine="482" w:firstLineChars="200"/>
              <w:rPr>
                <w:rFonts w:hint="eastAsia" w:ascii="宋体" w:hAnsi="宋体"/>
                <w:b/>
                <w:bCs/>
                <w:sz w:val="24"/>
                <w:lang w:val="en-US" w:eastAsia="zh-CN"/>
              </w:rPr>
            </w:pPr>
            <w:r>
              <w:rPr>
                <w:rFonts w:hint="eastAsia" w:ascii="宋体" w:hAnsi="宋体"/>
                <w:b/>
                <w:bCs/>
                <w:sz w:val="24"/>
                <w:lang w:val="en-US" w:eastAsia="zh-CN"/>
              </w:rPr>
              <w:t>4、可充抵保证金证券涉及转板的，乙方将根据证券交易所要求将拟转板的证券调出可充抵保证金证券范围。</w:t>
            </w:r>
          </w:p>
          <w:p>
            <w:pPr>
              <w:tabs>
                <w:tab w:val="left" w:pos="0"/>
                <w:tab w:val="left" w:pos="180"/>
              </w:tabs>
              <w:spacing w:line="400" w:lineRule="exact"/>
              <w:ind w:right="25" w:rightChars="12" w:firstLine="482" w:firstLineChars="200"/>
              <w:rPr>
                <w:rFonts w:hint="default" w:ascii="宋体" w:hAnsi="宋体"/>
                <w:b/>
                <w:bCs/>
                <w:sz w:val="24"/>
                <w:lang w:val="en-US" w:eastAsia="zh-CN"/>
              </w:rPr>
            </w:pPr>
            <w:r>
              <w:rPr>
                <w:rFonts w:hint="eastAsia" w:ascii="宋体" w:hAnsi="宋体"/>
                <w:b/>
                <w:bCs/>
                <w:sz w:val="24"/>
                <w:lang w:val="en-US" w:eastAsia="zh-CN"/>
              </w:rPr>
              <w:t>5、标的证券涉及转板的，乙方将根据证券交易所要求将拟转板的证券调出标的证券范围。</w:t>
            </w:r>
          </w:p>
          <w:p>
            <w:pPr>
              <w:tabs>
                <w:tab w:val="left" w:pos="0"/>
                <w:tab w:val="left" w:pos="180"/>
              </w:tabs>
              <w:spacing w:line="400" w:lineRule="exact"/>
              <w:ind w:right="25" w:rightChars="12" w:firstLine="489" w:firstLineChars="204"/>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 xml:space="preserve">第九条 </w:t>
            </w:r>
            <w:r>
              <w:rPr>
                <w:rFonts w:ascii="宋体" w:hAnsi="宋体"/>
                <w:b/>
                <w:sz w:val="24"/>
              </w:rPr>
              <w:t>维持担保比例、补</w:t>
            </w:r>
            <w:r>
              <w:rPr>
                <w:rFonts w:hint="eastAsia" w:ascii="宋体" w:hAnsi="宋体"/>
                <w:b/>
                <w:sz w:val="24"/>
              </w:rPr>
              <w:t>足担保物</w:t>
            </w:r>
          </w:p>
          <w:p>
            <w:pPr>
              <w:tabs>
                <w:tab w:val="left" w:pos="720"/>
              </w:tabs>
              <w:spacing w:line="400" w:lineRule="exact"/>
              <w:ind w:left="1" w:firstLine="480" w:firstLineChars="200"/>
              <w:rPr>
                <w:rFonts w:ascii="宋体" w:hAnsi="宋体"/>
                <w:sz w:val="24"/>
              </w:rPr>
            </w:pPr>
            <w:r>
              <w:rPr>
                <w:rFonts w:hint="eastAsia" w:ascii="宋体" w:hAnsi="宋体"/>
                <w:sz w:val="24"/>
              </w:rPr>
              <w:t>（一）维持担保比例计算公式</w:t>
            </w:r>
          </w:p>
          <w:p>
            <w:pPr>
              <w:spacing w:line="400" w:lineRule="exact"/>
              <w:ind w:firstLine="480" w:firstLineChars="200"/>
              <w:rPr>
                <w:rFonts w:ascii="宋体" w:hAnsi="宋体"/>
                <w:sz w:val="24"/>
              </w:rPr>
            </w:pPr>
            <w:r>
              <w:rPr>
                <w:rFonts w:hint="eastAsia" w:ascii="宋体" w:hAnsi="宋体"/>
                <w:sz w:val="24"/>
              </w:rPr>
              <w:t>维持担保比例=（现金+信用证券账户内证券市值+其他担保物）/(融资买入金额+融券卖出证券数量×市价＋利息及费用) ×100%</w:t>
            </w:r>
          </w:p>
          <w:p>
            <w:pPr>
              <w:spacing w:line="400" w:lineRule="exact"/>
              <w:ind w:firstLine="480" w:firstLineChars="200"/>
              <w:rPr>
                <w:rFonts w:ascii="宋体" w:hAnsi="宋体"/>
                <w:sz w:val="24"/>
              </w:rPr>
            </w:pPr>
            <w:r>
              <w:rPr>
                <w:rFonts w:hint="eastAsia" w:ascii="宋体" w:hAnsi="宋体"/>
                <w:sz w:val="24"/>
              </w:rPr>
              <w:t>现金：是指甲方信用资金账户内的现金。</w:t>
            </w:r>
          </w:p>
          <w:p>
            <w:pPr>
              <w:spacing w:line="400" w:lineRule="exact"/>
              <w:ind w:firstLine="480" w:firstLineChars="200"/>
              <w:rPr>
                <w:rFonts w:ascii="宋体" w:hAnsi="宋体"/>
                <w:sz w:val="24"/>
              </w:rPr>
            </w:pPr>
            <w:r>
              <w:rPr>
                <w:rFonts w:hint="eastAsia" w:ascii="宋体" w:hAnsi="宋体"/>
                <w:sz w:val="24"/>
              </w:rPr>
              <w:t>（二）维持担保比例在股权登记日、除权日、到账日的处理。</w:t>
            </w:r>
          </w:p>
          <w:p>
            <w:pPr>
              <w:spacing w:line="400" w:lineRule="exact"/>
              <w:ind w:firstLine="480" w:firstLineChars="200"/>
              <w:rPr>
                <w:rFonts w:ascii="宋体" w:hAnsi="宋体"/>
                <w:sz w:val="24"/>
              </w:rPr>
            </w:pPr>
            <w:r>
              <w:rPr>
                <w:rFonts w:hint="eastAsia" w:ascii="宋体" w:hAnsi="宋体"/>
                <w:sz w:val="24"/>
              </w:rPr>
              <w:t>维持担保比例＝（现金＋信用证券账户内证券市值总和＋担保证券权益价值）/(融资买入金额＋融券卖出证券数量×市价＋应计利息及费用＋融券权益补偿价值)×100%</w:t>
            </w:r>
          </w:p>
          <w:p>
            <w:pPr>
              <w:spacing w:line="400" w:lineRule="exact"/>
              <w:ind w:firstLine="480" w:firstLineChars="200"/>
              <w:rPr>
                <w:rFonts w:ascii="宋体" w:hAnsi="宋体"/>
                <w:sz w:val="24"/>
              </w:rPr>
            </w:pPr>
            <w:r>
              <w:rPr>
                <w:rFonts w:hint="eastAsia" w:ascii="宋体" w:hAnsi="宋体"/>
                <w:sz w:val="24"/>
              </w:rPr>
              <w:t>维持担保比例公式中，融券权益补偿价值＝融券权益补偿证券数量×当前市价＋融券应补偿资金。</w:t>
            </w:r>
          </w:p>
          <w:p>
            <w:pPr>
              <w:spacing w:line="400" w:lineRule="exact"/>
              <w:ind w:firstLine="480" w:firstLineChars="200"/>
              <w:rPr>
                <w:rFonts w:ascii="宋体" w:hAnsi="宋体"/>
                <w:sz w:val="24"/>
              </w:rPr>
            </w:pPr>
            <w:r>
              <w:rPr>
                <w:rFonts w:hint="eastAsia" w:ascii="宋体" w:hAnsi="宋体"/>
                <w:sz w:val="24"/>
              </w:rPr>
              <w:t>除权日仍按照上述计算，到账日系统直接进行扣划，按照正常维持担保比例公式计算。</w:t>
            </w:r>
          </w:p>
          <w:p>
            <w:pPr>
              <w:tabs>
                <w:tab w:val="left" w:pos="720"/>
              </w:tabs>
              <w:spacing w:line="400" w:lineRule="exact"/>
              <w:ind w:left="1" w:firstLine="480" w:firstLineChars="200"/>
              <w:rPr>
                <w:rFonts w:ascii="宋体" w:hAnsi="宋体"/>
                <w:sz w:val="24"/>
              </w:rPr>
            </w:pPr>
            <w:r>
              <w:rPr>
                <w:rFonts w:hint="eastAsia" w:ascii="宋体" w:hAnsi="宋体"/>
                <w:sz w:val="24"/>
              </w:rPr>
              <w:t>（三）补足担保物</w:t>
            </w:r>
          </w:p>
          <w:p>
            <w:pPr>
              <w:tabs>
                <w:tab w:val="left" w:pos="720"/>
              </w:tabs>
              <w:spacing w:line="400" w:lineRule="exact"/>
              <w:ind w:firstLine="480" w:firstLineChars="200"/>
              <w:rPr>
                <w:rFonts w:ascii="宋体" w:hAnsi="宋体"/>
                <w:sz w:val="24"/>
              </w:rPr>
            </w:pPr>
            <w:r>
              <w:rPr>
                <w:rFonts w:hint="eastAsia" w:ascii="宋体" w:hAnsi="宋体"/>
                <w:sz w:val="24"/>
              </w:rPr>
              <w:t>1、当日（T日）交易清算后，甲方维持担保比例低于平仓线的，乙方将以合同约定的方式通知甲方在本合同约定的期限内补足担保物。</w:t>
            </w:r>
          </w:p>
          <w:p>
            <w:pPr>
              <w:tabs>
                <w:tab w:val="left" w:pos="720"/>
              </w:tabs>
              <w:spacing w:line="400" w:lineRule="exact"/>
              <w:ind w:firstLine="480" w:firstLineChars="200"/>
              <w:rPr>
                <w:rFonts w:ascii="宋体" w:hAnsi="宋体"/>
                <w:sz w:val="24"/>
              </w:rPr>
            </w:pPr>
            <w:r>
              <w:rPr>
                <w:rFonts w:hint="eastAsia" w:ascii="宋体" w:hAnsi="宋体"/>
                <w:sz w:val="24"/>
              </w:rPr>
              <w:t>2、补足担保物方式包括：甲方追加担保物、偿还部分融资融券负债。</w:t>
            </w:r>
          </w:p>
          <w:p>
            <w:pPr>
              <w:tabs>
                <w:tab w:val="left" w:pos="720"/>
              </w:tabs>
              <w:spacing w:line="400" w:lineRule="exact"/>
              <w:ind w:left="1" w:firstLine="480" w:firstLineChars="200"/>
              <w:rPr>
                <w:rFonts w:ascii="宋体" w:hAnsi="宋体"/>
                <w:sz w:val="24"/>
              </w:rPr>
            </w:pPr>
            <w:r>
              <w:rPr>
                <w:rFonts w:hint="eastAsia" w:ascii="宋体" w:hAnsi="宋体"/>
                <w:sz w:val="24"/>
              </w:rPr>
              <w:t>3、补足担保物的期限：本合同约定的追保期限以T日为基准，不多于</w:t>
            </w:r>
            <w:r>
              <w:rPr>
                <w:rFonts w:hint="eastAsia" w:ascii="宋体" w:hAnsi="宋体"/>
                <w:sz w:val="24"/>
                <w:lang w:eastAsia="zh-CN"/>
              </w:rPr>
              <w:t>五</w:t>
            </w:r>
            <w:r>
              <w:rPr>
                <w:rFonts w:hint="eastAsia" w:ascii="宋体" w:hAnsi="宋体"/>
                <w:sz w:val="24"/>
              </w:rPr>
              <w:t>个交易日。如乙方对补足担保物期限进行调整的，由乙方通过其网站、营业场所、行情与交易系统中任何一种或几种方式进行公告</w:t>
            </w:r>
            <w:r>
              <w:rPr>
                <w:rFonts w:hint="eastAsia" w:ascii="宋体" w:hAnsi="宋体"/>
                <w:b/>
                <w:sz w:val="24"/>
              </w:rPr>
              <w:t>。</w:t>
            </w:r>
            <w:r>
              <w:rPr>
                <w:rFonts w:hint="eastAsia" w:ascii="宋体" w:hAnsi="宋体"/>
                <w:sz w:val="24"/>
              </w:rPr>
              <w:t>甲乙双方另行约定补足担保物期限的，以双方另行约定的为准。</w:t>
            </w:r>
          </w:p>
          <w:p>
            <w:pPr>
              <w:tabs>
                <w:tab w:val="left" w:pos="720"/>
              </w:tabs>
              <w:spacing w:line="400" w:lineRule="exact"/>
              <w:ind w:firstLine="480" w:firstLineChars="200"/>
              <w:rPr>
                <w:rFonts w:ascii="宋体" w:hAnsi="宋体"/>
                <w:sz w:val="24"/>
              </w:rPr>
            </w:pPr>
          </w:p>
          <w:p>
            <w:pPr>
              <w:tabs>
                <w:tab w:val="left" w:pos="720"/>
              </w:tabs>
              <w:spacing w:line="400" w:lineRule="exact"/>
              <w:ind w:left="1" w:firstLine="480" w:firstLineChars="200"/>
              <w:rPr>
                <w:rFonts w:hint="eastAsia" w:ascii="宋体" w:hAnsi="宋体"/>
                <w:sz w:val="24"/>
              </w:rPr>
            </w:pPr>
            <w:r>
              <w:rPr>
                <w:rFonts w:hint="eastAsia" w:ascii="宋体" w:hAnsi="宋体"/>
                <w:sz w:val="24"/>
              </w:rPr>
              <w:t>4、甲方补足担保物后需确保日终清算后维持担保比例应达到警戒线及以上。</w:t>
            </w: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492" w:firstLineChars="204"/>
              <w:rPr>
                <w:rFonts w:ascii="宋体" w:hAnsi="宋体"/>
                <w:b/>
                <w:sz w:val="24"/>
              </w:rPr>
            </w:pPr>
            <w:r>
              <w:rPr>
                <w:rFonts w:hint="eastAsia" w:ascii="宋体" w:hAnsi="宋体"/>
                <w:b/>
                <w:sz w:val="24"/>
              </w:rPr>
              <w:t xml:space="preserve">第九条 </w:t>
            </w:r>
            <w:r>
              <w:rPr>
                <w:rFonts w:ascii="宋体" w:hAnsi="宋体"/>
                <w:b/>
                <w:sz w:val="24"/>
              </w:rPr>
              <w:t>维持担保比例、补</w:t>
            </w:r>
            <w:r>
              <w:rPr>
                <w:rFonts w:hint="eastAsia" w:ascii="宋体" w:hAnsi="宋体"/>
                <w:b/>
                <w:sz w:val="24"/>
              </w:rPr>
              <w:t>足担保物</w:t>
            </w:r>
          </w:p>
          <w:p>
            <w:pPr>
              <w:tabs>
                <w:tab w:val="left" w:pos="720"/>
              </w:tabs>
              <w:spacing w:line="400" w:lineRule="exact"/>
              <w:ind w:left="1" w:firstLine="480" w:firstLineChars="200"/>
              <w:rPr>
                <w:rFonts w:ascii="宋体" w:hAnsi="宋体"/>
                <w:sz w:val="24"/>
              </w:rPr>
            </w:pPr>
            <w:r>
              <w:rPr>
                <w:rFonts w:hint="eastAsia" w:ascii="宋体" w:hAnsi="宋体"/>
                <w:sz w:val="24"/>
              </w:rPr>
              <w:t>（一）维持担保比例计算公式</w:t>
            </w:r>
          </w:p>
          <w:p>
            <w:pPr>
              <w:spacing w:line="400" w:lineRule="exact"/>
              <w:ind w:firstLine="480" w:firstLineChars="200"/>
              <w:rPr>
                <w:rFonts w:ascii="宋体" w:hAnsi="宋体"/>
                <w:sz w:val="24"/>
              </w:rPr>
            </w:pPr>
            <w:r>
              <w:rPr>
                <w:rFonts w:hint="eastAsia" w:ascii="宋体" w:hAnsi="宋体"/>
                <w:sz w:val="24"/>
              </w:rPr>
              <w:t>维持担保比例=（现金+信用证券账户内证券市值+其他担保物）/(融资买入金额+融券卖出证券数量×市价＋利息及费用) ×100%</w:t>
            </w:r>
          </w:p>
          <w:p>
            <w:pPr>
              <w:spacing w:line="400" w:lineRule="exact"/>
              <w:ind w:firstLine="480" w:firstLineChars="200"/>
              <w:rPr>
                <w:rFonts w:ascii="宋体" w:hAnsi="宋体"/>
                <w:sz w:val="24"/>
              </w:rPr>
            </w:pPr>
            <w:r>
              <w:rPr>
                <w:rFonts w:hint="eastAsia" w:ascii="宋体" w:hAnsi="宋体"/>
                <w:sz w:val="24"/>
              </w:rPr>
              <w:t>现金：是指甲方信用资金账户内的现金。</w:t>
            </w:r>
          </w:p>
          <w:p>
            <w:pPr>
              <w:spacing w:line="400" w:lineRule="exact"/>
              <w:ind w:firstLine="480" w:firstLineChars="200"/>
              <w:rPr>
                <w:rFonts w:ascii="宋体" w:hAnsi="宋体"/>
                <w:sz w:val="24"/>
              </w:rPr>
            </w:pPr>
            <w:r>
              <w:rPr>
                <w:rFonts w:hint="eastAsia" w:ascii="宋体" w:hAnsi="宋体"/>
                <w:sz w:val="24"/>
              </w:rPr>
              <w:t>（二）维持担保比例在股权登记日、除权日、到账日的处理。</w:t>
            </w:r>
          </w:p>
          <w:p>
            <w:pPr>
              <w:spacing w:line="400" w:lineRule="exact"/>
              <w:ind w:firstLine="480" w:firstLineChars="200"/>
              <w:rPr>
                <w:rFonts w:ascii="宋体" w:hAnsi="宋体"/>
                <w:sz w:val="24"/>
              </w:rPr>
            </w:pPr>
            <w:r>
              <w:rPr>
                <w:rFonts w:hint="eastAsia" w:ascii="宋体" w:hAnsi="宋体"/>
                <w:sz w:val="24"/>
              </w:rPr>
              <w:t>维持担保比例＝（现金＋信用证券账户内证券市值总和＋担保证券权益价值）/(融资买入金额＋融券卖出证券数量×市价＋应计利息及费用＋融券权益补偿价值)×100%</w:t>
            </w:r>
          </w:p>
          <w:p>
            <w:pPr>
              <w:spacing w:line="400" w:lineRule="exact"/>
              <w:ind w:firstLine="480" w:firstLineChars="200"/>
              <w:rPr>
                <w:rFonts w:ascii="宋体" w:hAnsi="宋体"/>
                <w:sz w:val="24"/>
              </w:rPr>
            </w:pPr>
            <w:r>
              <w:rPr>
                <w:rFonts w:hint="eastAsia" w:ascii="宋体" w:hAnsi="宋体"/>
                <w:sz w:val="24"/>
              </w:rPr>
              <w:t>维持担保比例公式中，融券权益补偿价值＝融券权益补偿证券数量×当前市价＋融券应补偿资金。</w:t>
            </w:r>
          </w:p>
          <w:p>
            <w:pPr>
              <w:spacing w:line="400" w:lineRule="exact"/>
              <w:ind w:firstLine="480" w:firstLineChars="200"/>
              <w:rPr>
                <w:rFonts w:ascii="宋体" w:hAnsi="宋体"/>
                <w:sz w:val="24"/>
              </w:rPr>
            </w:pPr>
            <w:r>
              <w:rPr>
                <w:rFonts w:hint="eastAsia" w:ascii="宋体" w:hAnsi="宋体"/>
                <w:sz w:val="24"/>
              </w:rPr>
              <w:t>除权日仍按照上述计算，到账日系统直接进行扣划，按照正常维持担保比例公式计算。</w:t>
            </w:r>
          </w:p>
          <w:p>
            <w:pPr>
              <w:tabs>
                <w:tab w:val="left" w:pos="720"/>
              </w:tabs>
              <w:spacing w:line="400" w:lineRule="exact"/>
              <w:ind w:left="1" w:firstLine="480" w:firstLineChars="200"/>
              <w:rPr>
                <w:rFonts w:ascii="宋体" w:hAnsi="宋体"/>
                <w:sz w:val="24"/>
              </w:rPr>
            </w:pPr>
            <w:r>
              <w:rPr>
                <w:rFonts w:hint="eastAsia" w:ascii="宋体" w:hAnsi="宋体"/>
                <w:sz w:val="24"/>
              </w:rPr>
              <w:t>（三）补足担保物</w:t>
            </w:r>
          </w:p>
          <w:p>
            <w:pPr>
              <w:tabs>
                <w:tab w:val="left" w:pos="720"/>
              </w:tabs>
              <w:spacing w:line="400" w:lineRule="exact"/>
              <w:ind w:firstLine="480" w:firstLineChars="200"/>
              <w:rPr>
                <w:rFonts w:ascii="宋体" w:hAnsi="宋体"/>
                <w:sz w:val="24"/>
              </w:rPr>
            </w:pPr>
            <w:r>
              <w:rPr>
                <w:rFonts w:hint="eastAsia" w:ascii="宋体" w:hAnsi="宋体"/>
                <w:sz w:val="24"/>
              </w:rPr>
              <w:t>1、当日（T日）交易清算后，甲方维持担保比例低于平仓线的，乙方将以合同约定的方式通知甲方在本合同约定的期限内补足担保物。</w:t>
            </w:r>
          </w:p>
          <w:p>
            <w:pPr>
              <w:tabs>
                <w:tab w:val="left" w:pos="720"/>
              </w:tabs>
              <w:spacing w:line="400" w:lineRule="exact"/>
              <w:ind w:firstLine="480" w:firstLineChars="200"/>
              <w:rPr>
                <w:rFonts w:ascii="宋体" w:hAnsi="宋体"/>
                <w:sz w:val="24"/>
              </w:rPr>
            </w:pPr>
            <w:r>
              <w:rPr>
                <w:rFonts w:hint="eastAsia" w:ascii="宋体" w:hAnsi="宋体"/>
                <w:sz w:val="24"/>
              </w:rPr>
              <w:t>2、补足担保物方式包括：甲方追加担保物、偿还部分融资融券负债。</w:t>
            </w:r>
          </w:p>
          <w:p>
            <w:pPr>
              <w:tabs>
                <w:tab w:val="left" w:pos="720"/>
              </w:tabs>
              <w:spacing w:line="400" w:lineRule="exact"/>
              <w:ind w:left="1" w:firstLine="480" w:firstLineChars="200"/>
              <w:rPr>
                <w:rFonts w:ascii="宋体" w:hAnsi="宋体"/>
                <w:sz w:val="24"/>
              </w:rPr>
            </w:pPr>
            <w:r>
              <w:rPr>
                <w:rFonts w:hint="eastAsia" w:ascii="宋体" w:hAnsi="宋体"/>
                <w:sz w:val="24"/>
              </w:rPr>
              <w:t>3、补足担保物的期限：本合同约定的追保期限以T日为基准，</w:t>
            </w:r>
            <w:r>
              <w:rPr>
                <w:rFonts w:hint="eastAsia" w:ascii="宋体" w:hAnsi="宋体"/>
                <w:b/>
                <w:bCs/>
                <w:sz w:val="24"/>
              </w:rPr>
              <w:t>不</w:t>
            </w:r>
            <w:r>
              <w:rPr>
                <w:rFonts w:hint="eastAsia" w:ascii="宋体" w:hAnsi="宋体"/>
                <w:b/>
                <w:bCs/>
                <w:sz w:val="24"/>
                <w:lang w:eastAsia="zh-CN"/>
              </w:rPr>
              <w:t>超过二</w:t>
            </w:r>
            <w:r>
              <w:rPr>
                <w:rFonts w:hint="eastAsia" w:ascii="宋体" w:hAnsi="宋体"/>
                <w:b/>
                <w:bCs/>
                <w:sz w:val="24"/>
              </w:rPr>
              <w:t>个交易日</w:t>
            </w:r>
            <w:r>
              <w:rPr>
                <w:rFonts w:hint="eastAsia" w:ascii="宋体" w:hAnsi="宋体"/>
                <w:sz w:val="24"/>
              </w:rPr>
              <w:t>。如乙方对补足担保物期限进行调整的，由乙方通过其网站、营业场所、行情与交易系统中任何一种或几种方式进行公告</w:t>
            </w:r>
            <w:r>
              <w:rPr>
                <w:rFonts w:hint="eastAsia" w:ascii="宋体" w:hAnsi="宋体"/>
                <w:b/>
                <w:sz w:val="24"/>
              </w:rPr>
              <w:t>。</w:t>
            </w:r>
            <w:r>
              <w:rPr>
                <w:rFonts w:hint="eastAsia" w:ascii="宋体" w:hAnsi="宋体"/>
                <w:sz w:val="24"/>
              </w:rPr>
              <w:t>甲乙双方另行约定补足担保物期限的，以双方另行约定的为准。</w:t>
            </w:r>
          </w:p>
          <w:p>
            <w:pPr>
              <w:tabs>
                <w:tab w:val="left" w:pos="720"/>
              </w:tabs>
              <w:spacing w:line="400" w:lineRule="exact"/>
              <w:ind w:firstLine="480" w:firstLineChars="200"/>
              <w:rPr>
                <w:rFonts w:ascii="宋体" w:hAnsi="宋体"/>
                <w:sz w:val="24"/>
              </w:rPr>
            </w:pPr>
          </w:p>
          <w:p>
            <w:pPr>
              <w:tabs>
                <w:tab w:val="left" w:pos="720"/>
              </w:tabs>
              <w:spacing w:line="400" w:lineRule="exact"/>
              <w:ind w:left="1" w:firstLine="480" w:firstLineChars="200"/>
              <w:rPr>
                <w:rFonts w:hint="eastAsia" w:ascii="宋体" w:hAnsi="宋体"/>
                <w:sz w:val="24"/>
              </w:rPr>
            </w:pPr>
            <w:r>
              <w:rPr>
                <w:rFonts w:hint="eastAsia" w:ascii="宋体" w:hAnsi="宋体"/>
                <w:sz w:val="24"/>
              </w:rPr>
              <w:t>4、甲方补足担保物后需确保日终清算后维持担保比例应达到警戒线及以上。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482" w:firstLineChars="200"/>
              <w:rPr>
                <w:rFonts w:ascii="宋体" w:hAnsi="宋体"/>
                <w:b/>
                <w:bCs w:val="0"/>
                <w:sz w:val="24"/>
                <w:highlight w:val="yellow"/>
              </w:rPr>
            </w:pPr>
            <w:r>
              <w:rPr>
                <w:rFonts w:hint="eastAsia" w:ascii="宋体" w:hAnsi="宋体"/>
                <w:b/>
                <w:bCs w:val="0"/>
                <w:sz w:val="24"/>
              </w:rPr>
              <w:t>第十条 违约处置</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（一）当出现以下情形时，乙方有权实施强制平仓：</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1、甲方信用账户清算后维持担保比例低于平仓线，且未在规定时间内补足担保物。</w:t>
            </w:r>
          </w:p>
          <w:p>
            <w:pPr>
              <w:tabs>
                <w:tab w:val="left" w:pos="0"/>
                <w:tab w:val="left" w:pos="180"/>
              </w:tabs>
              <w:spacing w:line="400" w:lineRule="exact"/>
              <w:ind w:right="25" w:rightChars="12" w:firstLine="480" w:firstLineChars="200"/>
              <w:rPr>
                <w:rFonts w:ascii="宋体" w:hAnsi="宋体"/>
                <w:b w:val="0"/>
                <w:bCs/>
                <w:sz w:val="24"/>
              </w:rPr>
            </w:pPr>
            <w:r>
              <w:rPr>
                <w:rFonts w:ascii="宋体" w:hAnsi="宋体"/>
                <w:b w:val="0"/>
                <w:bCs/>
                <w:sz w:val="24"/>
              </w:rPr>
              <w:t>2</w:t>
            </w:r>
            <w:r>
              <w:rPr>
                <w:rFonts w:hint="eastAsia" w:ascii="宋体" w:hAnsi="宋体"/>
                <w:b w:val="0"/>
                <w:bCs/>
                <w:sz w:val="24"/>
              </w:rPr>
              <w:t>、甲方信用账户任一日清算后维持担保比例低于紧急平仓线，乙方有权随时平仓。</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3、甲方在单笔融资融券债务到期的最后一个交易日，仍未足额了结该笔债务。</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4、甲方融券标的发生终止上市、要约收购、吸收合并等情形的，甲方未在交易所公告的五个交易日（含公告日）内足额归还证券的。</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5、甲方出现违反声明与保证内容或违反本协议其他规定。</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6、在出现本合同终止或解除的情形时，甲方未及时了结所负的融资融券债务。</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7、国家有权机关依法对甲方信用账户记载的权益采取保全或强制执行措施时，甲方尚有对乙方的未清偿债务。</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8、甲方信用账户内持仓集中度超过50%的证券存在重大负面消息（包括但不限于上市公司存在退市风险，上市公司由于重大违法违规被立案调查，上市公司债券发生违约）或连续两个交易日</w:t>
            </w:r>
            <w:r>
              <w:rPr>
                <w:rFonts w:hint="eastAsia" w:ascii="宋体" w:hAnsi="宋体"/>
                <w:b w:val="0"/>
                <w:bCs/>
                <w:sz w:val="24"/>
                <w:lang w:eastAsia="zh-CN"/>
              </w:rPr>
              <w:t>跌停</w:t>
            </w:r>
            <w:r>
              <w:rPr>
                <w:rFonts w:hint="eastAsia" w:ascii="宋体" w:hAnsi="宋体"/>
                <w:b w:val="0"/>
                <w:bCs/>
                <w:sz w:val="24"/>
              </w:rPr>
              <w:t>，且经乙方通过合同约定送达方式进行两次风险提示后，甲方仍未采取有效措施降低账户风险。</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9、甲方融资融券合约存续期间，经乙方查询并核实甲方在其他金融机构发生实质违约情形的。</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10、其他可能严重影响甲方偿债能力的情形。</w:t>
            </w:r>
          </w:p>
          <w:p>
            <w:pPr>
              <w:tabs>
                <w:tab w:val="left" w:pos="0"/>
                <w:tab w:val="left" w:pos="180"/>
              </w:tabs>
              <w:spacing w:line="400" w:lineRule="exact"/>
              <w:ind w:right="25" w:rightChars="12" w:firstLine="482" w:firstLineChars="200"/>
              <w:rPr>
                <w:rFonts w:hint="eastAsia" w:ascii="宋体" w:hAnsi="宋体"/>
                <w:sz w:val="24"/>
              </w:rPr>
            </w:pPr>
            <w:r>
              <w:rPr>
                <w:rFonts w:hint="eastAsia" w:ascii="宋体" w:hAnsi="宋体"/>
                <w:b/>
                <w:sz w:val="24"/>
              </w:rPr>
              <w:t>……</w:t>
            </w:r>
          </w:p>
          <w:p>
            <w:pPr>
              <w:tabs>
                <w:tab w:val="left" w:pos="0"/>
                <w:tab w:val="left" w:pos="180"/>
              </w:tabs>
              <w:spacing w:line="400" w:lineRule="exact"/>
              <w:ind w:right="25" w:rightChars="12" w:firstLine="369" w:firstLineChars="204"/>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482" w:firstLineChars="200"/>
              <w:rPr>
                <w:rFonts w:ascii="宋体" w:hAnsi="宋体"/>
                <w:b/>
                <w:sz w:val="24"/>
                <w:highlight w:val="yellow"/>
              </w:rPr>
            </w:pPr>
            <w:r>
              <w:rPr>
                <w:rFonts w:hint="eastAsia" w:ascii="宋体" w:hAnsi="宋体"/>
                <w:b/>
                <w:sz w:val="24"/>
              </w:rPr>
              <w:t>第十条 违约处置</w:t>
            </w:r>
          </w:p>
          <w:p>
            <w:pPr>
              <w:tabs>
                <w:tab w:val="left" w:pos="0"/>
                <w:tab w:val="left" w:pos="180"/>
              </w:tabs>
              <w:spacing w:line="400" w:lineRule="exact"/>
              <w:ind w:right="25" w:rightChars="12" w:firstLine="482" w:firstLineChars="200"/>
              <w:rPr>
                <w:rFonts w:ascii="宋体" w:hAnsi="宋体"/>
                <w:b/>
                <w:sz w:val="24"/>
              </w:rPr>
            </w:pPr>
            <w:r>
              <w:rPr>
                <w:rFonts w:hint="eastAsia" w:ascii="宋体" w:hAnsi="宋体"/>
                <w:b/>
                <w:sz w:val="24"/>
              </w:rPr>
              <w:t>（一）当出现以下情形时，乙方有权实施强制平仓：</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1、甲方信用账户清算后维持担保比例低于平仓线，且未在规定时间内补足担保物。</w:t>
            </w:r>
          </w:p>
          <w:p>
            <w:pPr>
              <w:tabs>
                <w:tab w:val="left" w:pos="0"/>
                <w:tab w:val="left" w:pos="180"/>
              </w:tabs>
              <w:spacing w:line="400" w:lineRule="exact"/>
              <w:ind w:right="25" w:rightChars="12" w:firstLine="480" w:firstLineChars="200"/>
              <w:rPr>
                <w:rFonts w:ascii="宋体" w:hAnsi="宋体"/>
                <w:b w:val="0"/>
                <w:bCs/>
                <w:sz w:val="24"/>
              </w:rPr>
            </w:pPr>
            <w:r>
              <w:rPr>
                <w:rFonts w:ascii="宋体" w:hAnsi="宋体"/>
                <w:b w:val="0"/>
                <w:bCs/>
                <w:sz w:val="24"/>
              </w:rPr>
              <w:t>2</w:t>
            </w:r>
            <w:r>
              <w:rPr>
                <w:rFonts w:hint="eastAsia" w:ascii="宋体" w:hAnsi="宋体"/>
                <w:b w:val="0"/>
                <w:bCs/>
                <w:sz w:val="24"/>
              </w:rPr>
              <w:t>、甲方信用账户任一日清算后维持担保比例低于紧急平仓线，乙方有权随时平仓。</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3、甲方在单笔融资融券债务到期的最后一个交易日，仍未足额了结该笔债务。</w:t>
            </w:r>
          </w:p>
          <w:p>
            <w:pPr>
              <w:tabs>
                <w:tab w:val="left" w:pos="0"/>
                <w:tab w:val="left" w:pos="180"/>
              </w:tabs>
              <w:spacing w:line="400" w:lineRule="exact"/>
              <w:ind w:right="25" w:rightChars="12" w:firstLine="482" w:firstLineChars="200"/>
              <w:rPr>
                <w:rFonts w:ascii="宋体" w:hAnsi="宋体"/>
                <w:b/>
                <w:bCs w:val="0"/>
                <w:sz w:val="24"/>
              </w:rPr>
            </w:pPr>
            <w:r>
              <w:rPr>
                <w:rFonts w:hint="eastAsia" w:ascii="宋体" w:hAnsi="宋体"/>
                <w:b/>
                <w:bCs w:val="0"/>
                <w:sz w:val="24"/>
              </w:rPr>
              <w:t>4、甲方融券标的发生终止上市、要约收购、吸收合并</w:t>
            </w:r>
            <w:r>
              <w:rPr>
                <w:rFonts w:hint="eastAsia" w:ascii="宋体" w:hAnsi="宋体"/>
                <w:b/>
                <w:bCs w:val="0"/>
                <w:sz w:val="24"/>
                <w:lang w:eastAsia="zh-CN"/>
              </w:rPr>
              <w:t>以及转板（转板主要涉及北京证券交易所证券）</w:t>
            </w:r>
            <w:r>
              <w:rPr>
                <w:rFonts w:hint="eastAsia" w:ascii="宋体" w:hAnsi="宋体"/>
                <w:b/>
                <w:bCs w:val="0"/>
                <w:sz w:val="24"/>
              </w:rPr>
              <w:t>等情形的，甲方未在交易所公告的五个交易日（含公告日）内足额归还证券的。</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5、甲方出现违反声明与保证内容或违反本协议其他规定。</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6、在出现本合同终止或解除的情形时，甲方未及时了结所负的融资融券债务。</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7、国家有权机关依法对甲方信用账户记载的权益采取保全或强制执行措施时，甲方尚有对乙方的未清偿债务。</w:t>
            </w:r>
          </w:p>
          <w:p>
            <w:pPr>
              <w:tabs>
                <w:tab w:val="left" w:pos="0"/>
                <w:tab w:val="left" w:pos="180"/>
              </w:tabs>
              <w:spacing w:line="400" w:lineRule="exact"/>
              <w:ind w:right="25" w:rightChars="12" w:firstLine="482" w:firstLineChars="200"/>
              <w:rPr>
                <w:rFonts w:ascii="宋体" w:hAnsi="宋体"/>
                <w:b/>
                <w:bCs w:val="0"/>
                <w:sz w:val="24"/>
              </w:rPr>
            </w:pPr>
            <w:r>
              <w:rPr>
                <w:rFonts w:hint="eastAsia" w:ascii="宋体" w:hAnsi="宋体"/>
                <w:b/>
                <w:bCs w:val="0"/>
                <w:sz w:val="24"/>
              </w:rPr>
              <w:t>8、甲方信用账户内持仓集中度超过50%的证券存在重大负面消息（包括但不限于上市公司存在退市风险，上市公司由于重大违法违规被立案调查，上市公司债券发生违约、上市公司股票被交易所实施各类风险警示等）或</w:t>
            </w:r>
            <w:r>
              <w:rPr>
                <w:rFonts w:hint="eastAsia" w:ascii="宋体" w:hAnsi="宋体"/>
                <w:b/>
                <w:bCs w:val="0"/>
                <w:sz w:val="24"/>
                <w:lang w:eastAsia="zh-CN"/>
              </w:rPr>
              <w:t>连续</w:t>
            </w:r>
            <w:r>
              <w:rPr>
                <w:rFonts w:hint="eastAsia" w:ascii="宋体" w:hAnsi="宋体"/>
                <w:b/>
                <w:bCs w:val="0"/>
                <w:sz w:val="24"/>
              </w:rPr>
              <w:t>两个交易日</w:t>
            </w:r>
            <w:r>
              <w:rPr>
                <w:rFonts w:hint="eastAsia" w:ascii="宋体" w:hAnsi="宋体"/>
                <w:b/>
                <w:bCs w:val="0"/>
                <w:sz w:val="24"/>
                <w:lang w:eastAsia="zh-CN"/>
              </w:rPr>
              <w:t>累计</w:t>
            </w:r>
            <w:r>
              <w:rPr>
                <w:rFonts w:hint="eastAsia" w:ascii="宋体" w:hAnsi="宋体"/>
                <w:b/>
                <w:bCs w:val="0"/>
                <w:sz w:val="24"/>
              </w:rPr>
              <w:t>跌幅达到15%以上</w:t>
            </w:r>
            <w:r>
              <w:rPr>
                <w:rFonts w:hint="eastAsia" w:ascii="宋体" w:hAnsi="宋体"/>
                <w:b/>
                <w:bCs w:val="0"/>
                <w:sz w:val="24"/>
                <w:lang w:eastAsia="zh-CN"/>
              </w:rPr>
              <w:t>、单个交易日累计</w:t>
            </w:r>
            <w:r>
              <w:rPr>
                <w:rFonts w:hint="eastAsia" w:ascii="宋体" w:hAnsi="宋体"/>
                <w:b/>
                <w:bCs w:val="0"/>
                <w:sz w:val="24"/>
              </w:rPr>
              <w:t>跌幅达到15%以上，且经乙方通过合同约定送达方式进行两次风险提示后，甲方仍未</w:t>
            </w:r>
            <w:r>
              <w:rPr>
                <w:rFonts w:hint="eastAsia" w:ascii="宋体" w:hAnsi="宋体"/>
                <w:b/>
                <w:bCs w:val="0"/>
                <w:sz w:val="24"/>
                <w:lang w:eastAsia="zh-CN"/>
              </w:rPr>
              <w:t>按照乙方要求</w:t>
            </w:r>
            <w:r>
              <w:rPr>
                <w:rFonts w:hint="eastAsia" w:ascii="宋体" w:hAnsi="宋体"/>
                <w:b/>
                <w:bCs w:val="0"/>
                <w:sz w:val="24"/>
              </w:rPr>
              <w:t>采取有效措施降低账户风险。</w:t>
            </w:r>
          </w:p>
          <w:p>
            <w:pPr>
              <w:tabs>
                <w:tab w:val="left" w:pos="0"/>
                <w:tab w:val="left" w:pos="180"/>
              </w:tabs>
              <w:spacing w:line="400" w:lineRule="exact"/>
              <w:ind w:right="25" w:rightChars="12" w:firstLine="480" w:firstLineChars="200"/>
              <w:rPr>
                <w:rFonts w:ascii="宋体" w:hAnsi="宋体"/>
                <w:b w:val="0"/>
                <w:bCs/>
                <w:sz w:val="24"/>
              </w:rPr>
            </w:pPr>
            <w:r>
              <w:rPr>
                <w:rFonts w:hint="eastAsia" w:ascii="宋体" w:hAnsi="宋体"/>
                <w:b w:val="0"/>
                <w:bCs/>
                <w:sz w:val="24"/>
              </w:rPr>
              <w:t>9、甲方融资融券合约存续期间，经乙方查询并核实甲方在其他金融机构发生实质违约情形的。</w:t>
            </w:r>
          </w:p>
          <w:p>
            <w:pPr>
              <w:tabs>
                <w:tab w:val="left" w:pos="0"/>
                <w:tab w:val="left" w:pos="180"/>
              </w:tabs>
              <w:spacing w:line="400" w:lineRule="exact"/>
              <w:ind w:right="25" w:rightChars="12" w:firstLine="489" w:firstLineChars="204"/>
              <w:rPr>
                <w:rFonts w:hint="eastAsia" w:ascii="宋体" w:hAnsi="宋体"/>
                <w:b w:val="0"/>
                <w:bCs/>
                <w:sz w:val="24"/>
              </w:rPr>
            </w:pPr>
            <w:r>
              <w:rPr>
                <w:rFonts w:hint="eastAsia" w:ascii="宋体" w:hAnsi="宋体"/>
                <w:b w:val="0"/>
                <w:bCs/>
                <w:sz w:val="24"/>
              </w:rPr>
              <w:t>10、其他可能严重影响甲方偿债能力的情形。</w:t>
            </w:r>
          </w:p>
          <w:p>
            <w:pPr>
              <w:tabs>
                <w:tab w:val="left" w:pos="0"/>
                <w:tab w:val="left" w:pos="180"/>
              </w:tabs>
              <w:spacing w:line="400" w:lineRule="exact"/>
              <w:ind w:right="25" w:rightChars="12" w:firstLine="482" w:firstLineChars="200"/>
              <w:rPr>
                <w:rFonts w:hint="eastAsia" w:ascii="宋体" w:hAnsi="宋体"/>
                <w:b w:val="0"/>
                <w:bCs/>
                <w:sz w:val="24"/>
              </w:rPr>
            </w:pP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482" w:firstLineChars="200"/>
              <w:rPr>
                <w:rFonts w:ascii="宋体" w:hAnsi="宋体"/>
                <w:b/>
                <w:sz w:val="24"/>
              </w:rPr>
            </w:pPr>
            <w:r>
              <w:rPr>
                <w:rFonts w:hint="eastAsia" w:ascii="宋体" w:hAnsi="宋体"/>
                <w:b/>
                <w:sz w:val="24"/>
              </w:rPr>
              <w:t>第十二条 特殊情形处理</w:t>
            </w:r>
          </w:p>
          <w:p>
            <w:pPr>
              <w:tabs>
                <w:tab w:val="left" w:pos="0"/>
                <w:tab w:val="left" w:pos="180"/>
              </w:tabs>
              <w:spacing w:line="400" w:lineRule="exact"/>
              <w:ind w:right="25" w:rightChars="12" w:firstLine="482" w:firstLineChars="200"/>
              <w:rPr>
                <w:rFonts w:hint="eastAsia" w:ascii="宋体" w:hAnsi="宋体"/>
                <w:b/>
                <w:sz w:val="24"/>
              </w:rPr>
            </w:pPr>
            <w:r>
              <w:rPr>
                <w:rFonts w:hint="eastAsia" w:ascii="宋体" w:hAnsi="宋体"/>
                <w:b/>
                <w:sz w:val="24"/>
              </w:rPr>
              <w:t>……</w:t>
            </w:r>
          </w:p>
          <w:p>
            <w:pPr>
              <w:numPr>
                <w:ilvl w:val="0"/>
                <w:numId w:val="1"/>
              </w:numPr>
              <w:tabs>
                <w:tab w:val="left" w:pos="0"/>
                <w:tab w:val="left" w:pos="180"/>
              </w:tabs>
              <w:spacing w:line="400" w:lineRule="exact"/>
              <w:ind w:right="25" w:rightChars="12" w:firstLine="489" w:firstLineChars="204"/>
              <w:rPr>
                <w:rFonts w:hint="eastAsia" w:ascii="宋体" w:hAnsi="宋体"/>
                <w:b w:val="0"/>
                <w:bCs/>
                <w:sz w:val="24"/>
              </w:rPr>
            </w:pPr>
            <w:r>
              <w:rPr>
                <w:rFonts w:hint="eastAsia" w:ascii="宋体" w:hAnsi="宋体"/>
                <w:b w:val="0"/>
                <w:bCs/>
                <w:sz w:val="24"/>
              </w:rPr>
              <w:t>融资融券交易期间，司法机关依法对甲方信用证券账户记载的权益采取财产保全或强制执行措施的，乙方将了结甲方融资融券交易，收回因融资融券所生对甲方的债权，并将剩余资金划转到甲方普通资金账户，将剩余证券划转到甲方的普通证券账户，并按照现行规定协助执行。</w:t>
            </w:r>
          </w:p>
          <w:p>
            <w:pPr>
              <w:numPr>
                <w:ilvl w:val="0"/>
                <w:numId w:val="0"/>
              </w:numPr>
              <w:tabs>
                <w:tab w:val="left" w:pos="0"/>
                <w:tab w:val="left" w:pos="180"/>
              </w:tabs>
              <w:spacing w:line="400" w:lineRule="exact"/>
              <w:ind w:right="25" w:rightChars="12" w:firstLine="723" w:firstLineChars="300"/>
              <w:rPr>
                <w:rFonts w:ascii="宋体" w:hAnsi="宋体"/>
                <w:b/>
                <w:sz w:val="24"/>
              </w:rPr>
            </w:pPr>
            <w:r>
              <w:rPr>
                <w:rFonts w:hint="eastAsia" w:ascii="宋体" w:hAnsi="宋体"/>
                <w:b/>
                <w:sz w:val="24"/>
              </w:rPr>
              <w:t>……</w:t>
            </w:r>
          </w:p>
          <w:p>
            <w:pPr>
              <w:spacing w:line="400" w:lineRule="exact"/>
              <w:ind w:firstLine="470" w:firstLineChars="196"/>
              <w:rPr>
                <w:rFonts w:hint="eastAsia" w:ascii="宋体" w:hAnsi="宋体"/>
                <w:sz w:val="24"/>
              </w:rPr>
            </w:pPr>
            <w:r>
              <w:rPr>
                <w:rFonts w:hint="eastAsia" w:ascii="宋体" w:hAnsi="宋体"/>
                <w:sz w:val="24"/>
              </w:rPr>
              <w:t>（七）若融券业务到期日标的证券因不可抗力等因素对日间还券操作造成实质影响的，即开盘即以涨停价格开盘且全天涨停趋势未打开的情形，乙方将豁免甲方违约情形并对相关融券业务期限进行延期操作。为避免类似情形发生，乙方将密切关注存续融券业务中涨幅较大的标的证券，及时提示甲方提前做好应对准备，包括但不限于展期或提前了结融券负债等。</w:t>
            </w:r>
          </w:p>
          <w:p>
            <w:pPr>
              <w:tabs>
                <w:tab w:val="left" w:pos="0"/>
                <w:tab w:val="left" w:pos="180"/>
              </w:tabs>
              <w:spacing w:line="400" w:lineRule="exact"/>
              <w:ind w:right="25" w:rightChars="12" w:firstLine="369" w:firstLineChars="204"/>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607" w:firstLineChars="252"/>
              <w:rPr>
                <w:rFonts w:ascii="宋体" w:hAnsi="宋体"/>
                <w:b/>
                <w:sz w:val="24"/>
              </w:rPr>
            </w:pPr>
            <w:r>
              <w:rPr>
                <w:rFonts w:hint="eastAsia" w:ascii="宋体" w:hAnsi="宋体"/>
                <w:b/>
                <w:sz w:val="24"/>
              </w:rPr>
              <w:t>第十二条 特殊情形处理</w:t>
            </w:r>
          </w:p>
          <w:p>
            <w:pPr>
              <w:tabs>
                <w:tab w:val="left" w:pos="0"/>
                <w:tab w:val="left" w:pos="180"/>
              </w:tabs>
              <w:spacing w:line="400" w:lineRule="exact"/>
              <w:ind w:right="25" w:rightChars="12" w:firstLine="482" w:firstLineChars="200"/>
              <w:rPr>
                <w:rFonts w:hint="eastAsia" w:ascii="宋体" w:hAnsi="宋体"/>
                <w:b/>
                <w:sz w:val="24"/>
              </w:rPr>
            </w:pPr>
            <w:r>
              <w:rPr>
                <w:rFonts w:hint="eastAsia" w:ascii="宋体" w:hAnsi="宋体"/>
                <w:b/>
                <w:sz w:val="24"/>
              </w:rPr>
              <w:t>……</w:t>
            </w:r>
          </w:p>
          <w:p>
            <w:pPr>
              <w:tabs>
                <w:tab w:val="left" w:pos="0"/>
                <w:tab w:val="left" w:pos="180"/>
              </w:tabs>
              <w:spacing w:line="400" w:lineRule="exact"/>
              <w:ind w:right="25" w:rightChars="12" w:firstLine="482" w:firstLineChars="200"/>
              <w:rPr>
                <w:rFonts w:hint="eastAsia" w:ascii="宋体" w:hAnsi="宋体" w:eastAsia="宋体"/>
                <w:b/>
                <w:sz w:val="24"/>
                <w:lang w:eastAsia="zh-CN"/>
              </w:rPr>
            </w:pPr>
            <w:r>
              <w:rPr>
                <w:rFonts w:hint="eastAsia" w:ascii="宋体" w:hAnsi="宋体"/>
                <w:b/>
                <w:sz w:val="24"/>
              </w:rPr>
              <w:t>（四）融资融券交易期间，司法机关依法对甲方信用证券账户记载的权益采取财产保全或强制执行措施的，乙方</w:t>
            </w:r>
            <w:r>
              <w:rPr>
                <w:rFonts w:hint="eastAsia" w:ascii="宋体" w:hAnsi="宋体"/>
                <w:b/>
                <w:sz w:val="24"/>
                <w:lang w:eastAsia="zh-CN"/>
              </w:rPr>
              <w:t>有权</w:t>
            </w:r>
            <w:r>
              <w:rPr>
                <w:rFonts w:hint="eastAsia" w:ascii="宋体" w:hAnsi="宋体"/>
                <w:b/>
                <w:sz w:val="24"/>
              </w:rPr>
              <w:t>了结甲方融资融券交易，收回债权</w:t>
            </w:r>
            <w:r>
              <w:rPr>
                <w:rFonts w:hint="eastAsia" w:ascii="宋体" w:hAnsi="宋体"/>
                <w:b/>
                <w:sz w:val="24"/>
                <w:lang w:eastAsia="zh-CN"/>
              </w:rPr>
              <w:t>并不允许新增融资融券负债。如司法机关有明确的冻结、限制等要求时，按照司法机关的明确的要求协助执行。</w:t>
            </w:r>
          </w:p>
          <w:p>
            <w:pPr>
              <w:numPr>
                <w:ilvl w:val="0"/>
                <w:numId w:val="0"/>
              </w:numPr>
              <w:tabs>
                <w:tab w:val="left" w:pos="0"/>
                <w:tab w:val="left" w:pos="180"/>
              </w:tabs>
              <w:spacing w:line="400" w:lineRule="exact"/>
              <w:ind w:right="25" w:rightChars="12" w:firstLine="723" w:firstLineChars="300"/>
              <w:rPr>
                <w:rFonts w:hint="eastAsia" w:ascii="宋体" w:hAnsi="宋体"/>
                <w:sz w:val="24"/>
              </w:rPr>
            </w:pPr>
            <w:r>
              <w:rPr>
                <w:rFonts w:hint="eastAsia" w:ascii="宋体" w:hAnsi="宋体"/>
                <w:b/>
                <w:sz w:val="24"/>
              </w:rPr>
              <w:t>……</w:t>
            </w:r>
          </w:p>
          <w:p>
            <w:pPr>
              <w:spacing w:line="400" w:lineRule="exact"/>
              <w:ind w:firstLine="470" w:firstLineChars="196"/>
              <w:rPr>
                <w:rFonts w:hint="eastAsia" w:ascii="宋体" w:hAnsi="宋体"/>
                <w:sz w:val="24"/>
              </w:rPr>
            </w:pPr>
            <w:r>
              <w:rPr>
                <w:rFonts w:hint="eastAsia" w:ascii="宋体" w:hAnsi="宋体"/>
                <w:sz w:val="24"/>
              </w:rPr>
              <w:t>（七）若融券业务到期日标的证券因不可抗力等因素对日间还券操作造成实质影响的，即开盘即以涨停价格开盘且全天涨停趋势未打开的情形，乙方将豁免甲方违约情形并对相关融券业务期限进行延期操作。为避免类似情形发生，乙方将密切关注存续融券业务中涨幅较大的标的证券，及时提示甲方提前做好应对准备，包括但不限于展期或提前了结融券负债等。</w:t>
            </w:r>
          </w:p>
          <w:p>
            <w:pPr>
              <w:spacing w:line="400" w:lineRule="exact"/>
              <w:ind w:firstLine="472" w:firstLineChars="196"/>
              <w:rPr>
                <w:rFonts w:hint="eastAsia" w:ascii="宋体" w:hAnsi="宋体"/>
                <w:b/>
                <w:bCs/>
                <w:sz w:val="24"/>
                <w:lang w:eastAsia="zh-CN"/>
              </w:rPr>
            </w:pPr>
            <w:r>
              <w:rPr>
                <w:rFonts w:hint="eastAsia" w:ascii="宋体" w:hAnsi="宋体"/>
                <w:b/>
                <w:bCs/>
                <w:sz w:val="24"/>
                <w:lang w:eastAsia="zh-CN"/>
              </w:rPr>
              <w:t>（八）因甲方持有的北京证券交易所证券涉及转板的，甲方应当在其信用账户符合提保要求的前提下，及时的申请将有关证券从其信用账户划转至普通账户中。</w:t>
            </w:r>
          </w:p>
          <w:p>
            <w:pPr>
              <w:spacing w:line="400" w:lineRule="exact"/>
              <w:ind w:right="0" w:rightChars="0" w:firstLine="472" w:firstLineChars="196"/>
              <w:rPr>
                <w:rFonts w:ascii="宋体" w:hAnsi="宋体"/>
                <w:sz w:val="24"/>
              </w:rPr>
            </w:pPr>
            <w:r>
              <w:rPr>
                <w:rFonts w:hint="eastAsia" w:ascii="宋体" w:hAnsi="宋体"/>
                <w:b/>
                <w:bCs/>
                <w:sz w:val="24"/>
                <w:lang w:eastAsia="zh-CN"/>
              </w:rPr>
              <w:t>（九）甲方在任职上市公司董事、监事、高级管理人员职务期间或者甲方为持有上市公司</w:t>
            </w:r>
            <w:r>
              <w:rPr>
                <w:rFonts w:hint="eastAsia" w:ascii="宋体" w:hAnsi="宋体"/>
                <w:b/>
                <w:bCs/>
                <w:sz w:val="24"/>
                <w:lang w:val="en-US" w:eastAsia="zh-CN"/>
              </w:rPr>
              <w:t>5%以上股份的股东的，甲方不得开展以该上市公司股票为标的证券的融资融券交易。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numPr>
                <w:ilvl w:val="0"/>
                <w:numId w:val="2"/>
              </w:numPr>
              <w:tabs>
                <w:tab w:val="left" w:pos="0"/>
                <w:tab w:val="left" w:pos="180"/>
              </w:tabs>
              <w:spacing w:line="400" w:lineRule="exact"/>
              <w:ind w:right="25" w:rightChars="12" w:firstLine="484" w:firstLineChars="201"/>
              <w:rPr>
                <w:rFonts w:ascii="宋体" w:hAnsi="宋体"/>
                <w:b/>
                <w:sz w:val="24"/>
              </w:rPr>
            </w:pPr>
            <w:r>
              <w:rPr>
                <w:rFonts w:ascii="宋体" w:hAnsi="宋体"/>
                <w:b/>
                <w:sz w:val="24"/>
              </w:rPr>
              <w:t>权益处理</w:t>
            </w:r>
          </w:p>
          <w:p>
            <w:pPr>
              <w:numPr>
                <w:ilvl w:val="0"/>
                <w:numId w:val="0"/>
              </w:numPr>
              <w:tabs>
                <w:tab w:val="left" w:pos="0"/>
                <w:tab w:val="left" w:pos="180"/>
              </w:tabs>
              <w:spacing w:line="400" w:lineRule="exact"/>
              <w:ind w:right="25" w:rightChars="12" w:firstLine="723" w:firstLineChars="300"/>
              <w:rPr>
                <w:rFonts w:ascii="宋体" w:hAnsi="宋体"/>
                <w:b/>
                <w:sz w:val="24"/>
              </w:rPr>
            </w:pPr>
            <w:r>
              <w:rPr>
                <w:rFonts w:hint="eastAsia" w:ascii="宋体" w:hAnsi="宋体"/>
                <w:b/>
                <w:sz w:val="24"/>
              </w:rPr>
              <w:t>……</w:t>
            </w:r>
          </w:p>
          <w:p>
            <w:pPr>
              <w:spacing w:line="400" w:lineRule="exact"/>
              <w:ind w:firstLine="470" w:firstLineChars="196"/>
              <w:rPr>
                <w:rFonts w:ascii="宋体" w:hAnsi="宋体"/>
                <w:sz w:val="24"/>
              </w:rPr>
            </w:pPr>
            <w:r>
              <w:rPr>
                <w:rFonts w:hint="eastAsia" w:ascii="宋体" w:hAnsi="宋体"/>
                <w:sz w:val="24"/>
              </w:rPr>
              <w:t>（二）甲方融券业务存续期间，证券发行人分配投资收益、向证券持有人配售或无偿派发证券、发行证券持有人有优先认购权的证券，甲方在偿还债务时，除偿还初始所融入的证券，还应当向乙方支付与所融入证券可得利益相等的证券和资金</w:t>
            </w:r>
            <w:r>
              <w:rPr>
                <w:rFonts w:hint="eastAsia" w:ascii="宋体" w:hAnsi="宋体"/>
                <w:color w:val="000000" w:themeColor="text1"/>
                <w:sz w:val="24"/>
                <w14:textFill>
                  <w14:solidFill>
                    <w14:schemeClr w14:val="tx1"/>
                  </w14:solidFill>
                </w14:textFill>
              </w:rPr>
              <w:t>（融券权益补偿）</w:t>
            </w:r>
            <w:r>
              <w:rPr>
                <w:rFonts w:hint="eastAsia" w:ascii="宋体" w:hAnsi="宋体"/>
                <w:sz w:val="24"/>
              </w:rPr>
              <w:t>。</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1、证券发行人派发现金红利的，对于甲方已融券卖出部分，甲方应向乙方补偿对应金额的现金红利。补偿金额在现金红利发放日直接从甲方信用资金账户扣收，现金余额不足扣收部分转为待扣收。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2、证券发行人派发股票红利和转增股本等无偿派发证券（权证除外），对于甲方已融券卖出部分，甲方应向乙方补偿对应数量的证券。在相应除权除息日直接计增甲方融券负债，甲方需在偿还融券债务时一并偿还。</w:t>
            </w:r>
          </w:p>
          <w:p>
            <w:pPr>
              <w:spacing w:line="400" w:lineRule="exact"/>
              <w:ind w:firstLine="470" w:firstLineChars="196"/>
              <w:rPr>
                <w:rFonts w:ascii="宋体" w:hAnsi="宋体"/>
                <w:sz w:val="24"/>
              </w:rPr>
            </w:pPr>
            <w:r>
              <w:rPr>
                <w:rFonts w:hint="eastAsia" w:ascii="宋体" w:hAnsi="宋体"/>
                <w:sz w:val="24"/>
              </w:rPr>
              <w:t>3、证券发行人派发权证的，甲方应当在权益登记日前了结相关融券交易。甲方未在权益登记日前了结相关融券交易的，应以现金方式进行补偿，权益补偿金额＝权证上市首日成交均价×权证派发数量。</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权证上市首日直接从甲方信用资金账户扣收；甲方了结相关融券交易时派发权证未上市的，应偿还除派发权证权益补偿外的其他融券负债；权益补偿金额在派发权证上市首日直接扣收。不足扣收部分转为待扣收，最晚归还日期为权证上市日和融券合约到期日较晚日期。</w:t>
            </w:r>
          </w:p>
          <w:p>
            <w:pPr>
              <w:spacing w:line="400" w:lineRule="exact"/>
              <w:ind w:firstLine="470" w:firstLineChars="196"/>
              <w:rPr>
                <w:rFonts w:ascii="宋体" w:hAnsi="宋体"/>
                <w:sz w:val="24"/>
              </w:rPr>
            </w:pP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融券交易期限届满日派发权证未上市的，融券交易期限不顺延。</w:t>
            </w:r>
          </w:p>
          <w:p>
            <w:pPr>
              <w:spacing w:line="400" w:lineRule="exact"/>
              <w:ind w:firstLine="470" w:firstLineChars="196"/>
              <w:rPr>
                <w:rFonts w:ascii="宋体" w:hAnsi="宋体"/>
                <w:sz w:val="24"/>
              </w:rPr>
            </w:pPr>
            <w:r>
              <w:rPr>
                <w:rFonts w:hint="eastAsia" w:ascii="宋体" w:hAnsi="宋体"/>
                <w:sz w:val="24"/>
              </w:rPr>
              <w:t>4、证券发行人向证券持有人配股，或者证券发行人增发新股以及发行权证、可转债等证券给予证券持有人优先认购权的，甲方应当在权益登记日前了结相关融券交易。甲方未在权益登记日前了结相关融券交易的，应以现金方式进行补偿。</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）证券发行人向证券持有人配股</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权益补偿金额＝（基准价格－配股除权价格）×融券数量。补偿金额小于零的，按零计算。</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其中：基准价格是配股登记日的收盘价格；配股除权价格，取理论配股除权价格与配股除权日成交均价两者之间较低的，理论配股除权价格＝（基准价格＋配股比例×配股价）</w:t>
            </w:r>
            <w:r>
              <w:rPr>
                <w:rFonts w:ascii="宋体" w:hAnsi="宋体"/>
                <w:sz w:val="24"/>
              </w:rPr>
              <w:t>/</w:t>
            </w:r>
            <w:r>
              <w:rPr>
                <w:rFonts w:hint="eastAsia" w:ascii="宋体" w:hAnsi="宋体"/>
                <w:sz w:val="24"/>
              </w:rPr>
              <w:t>（</w:t>
            </w:r>
            <w:r>
              <w:rPr>
                <w:rFonts w:ascii="宋体" w:hAnsi="宋体"/>
                <w:sz w:val="24"/>
              </w:rPr>
              <w:t>1</w:t>
            </w:r>
            <w:r>
              <w:rPr>
                <w:rFonts w:hint="eastAsia" w:ascii="宋体" w:hAnsi="宋体"/>
                <w:sz w:val="24"/>
              </w:rPr>
              <w:t>＋配股比例）。</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权益补偿金额在配股除权日直接从甲方信用资金账户中扣收，不足扣收部分转待扣收，最晚归还日期为配股除权日和融券合约到期日较晚日期。</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）证券发行人增发新股、可转债或权证</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权益补偿金额＝（上市首日成交均价－认购价格）×应认购数量。补偿金额小于零的，按零计算。</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权益补偿金额在相关证券上市首日直接从甲方信用资金账户扣收；甲方了结相关融券交易时相关证券未上市的，应偿还除权益补偿外的其他融券负债；权益补偿金额在派发权证上市首日直接扣收。不足扣收部分转为待扣收，最晚归还日期为相关证券上市日和融券合约到期日较晚日期。</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5、甲方融券卖出证券发生本节所述情形产生融券权益补偿，在计算维持担保比例和保证金可用余额等指标时，应考虑融券权益补偿因素，融券卖出证券市值应增加融券权益补偿。</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6、甲方应充分关注融券交易发生的权益补偿及对维持担保比例和保证金可用余额的影响，在信用资金账户保留足额资金用于支付融券权益补偿金额。因权益补偿金额扣收导致甲方信用资金账户维持担保比例和保证金可用余额的变化及因此产生的后果，乙方不承担任何责任。</w:t>
            </w:r>
            <w:r>
              <w:rPr>
                <w:rFonts w:ascii="宋体" w:hAnsi="宋体"/>
                <w:sz w:val="24"/>
              </w:rPr>
              <w:t xml:space="preserve"> </w:t>
            </w:r>
          </w:p>
          <w:p>
            <w:pPr>
              <w:spacing w:line="400" w:lineRule="exact"/>
              <w:ind w:firstLine="470" w:firstLineChars="196"/>
              <w:rPr>
                <w:rFonts w:ascii="宋体" w:hAnsi="宋体" w:eastAsiaTheme="minorEastAsia" w:cstheme="minorBidi"/>
                <w:b/>
                <w:kern w:val="2"/>
                <w:sz w:val="18"/>
                <w:szCs w:val="18"/>
                <w:lang w:val="en-US" w:eastAsia="zh-CN" w:bidi="ar-SA"/>
              </w:rPr>
            </w:pPr>
            <w:r>
              <w:rPr>
                <w:rFonts w:hint="eastAsia" w:ascii="宋体" w:hAnsi="宋体"/>
                <w:sz w:val="24"/>
              </w:rPr>
              <w:t>发生合同未约定情形时，甲乙双方根据本合同确定的原则和实际损益情况协商确定融券权益补偿，但甲方仍应按时足额偿还其他融券负债。</w:t>
            </w:r>
          </w:p>
        </w:tc>
        <w:tc>
          <w:tcPr>
            <w:tcW w:w="4148" w:type="dxa"/>
            <w:tcBorders>
              <w:top w:val="single" w:color="auto" w:sz="4" w:space="0"/>
              <w:left w:val="single" w:color="auto" w:sz="4" w:space="0"/>
              <w:bottom w:val="single" w:color="auto" w:sz="4" w:space="0"/>
              <w:right w:val="single" w:color="auto" w:sz="4" w:space="0"/>
            </w:tcBorders>
            <w:vAlign w:val="top"/>
          </w:tcPr>
          <w:p>
            <w:pPr>
              <w:numPr>
                <w:ilvl w:val="0"/>
                <w:numId w:val="3"/>
              </w:numPr>
              <w:tabs>
                <w:tab w:val="left" w:pos="0"/>
                <w:tab w:val="left" w:pos="180"/>
              </w:tabs>
              <w:spacing w:line="400" w:lineRule="exact"/>
              <w:ind w:right="25" w:rightChars="12" w:firstLine="484" w:firstLineChars="201"/>
              <w:rPr>
                <w:rFonts w:ascii="宋体" w:hAnsi="宋体"/>
                <w:b/>
                <w:sz w:val="24"/>
              </w:rPr>
            </w:pPr>
            <w:r>
              <w:rPr>
                <w:rFonts w:ascii="宋体" w:hAnsi="宋体"/>
                <w:b/>
                <w:sz w:val="24"/>
              </w:rPr>
              <w:t>权益处理</w:t>
            </w:r>
          </w:p>
          <w:p>
            <w:pPr>
              <w:numPr>
                <w:ilvl w:val="0"/>
                <w:numId w:val="0"/>
              </w:numPr>
              <w:tabs>
                <w:tab w:val="left" w:pos="0"/>
                <w:tab w:val="left" w:pos="180"/>
              </w:tabs>
              <w:spacing w:line="400" w:lineRule="exact"/>
              <w:ind w:right="25" w:rightChars="12" w:firstLine="723" w:firstLineChars="300"/>
              <w:rPr>
                <w:rFonts w:ascii="宋体" w:hAnsi="宋体"/>
                <w:b/>
                <w:sz w:val="24"/>
              </w:rPr>
            </w:pPr>
            <w:r>
              <w:rPr>
                <w:rFonts w:hint="eastAsia" w:ascii="宋体" w:hAnsi="宋体"/>
                <w:b/>
                <w:sz w:val="24"/>
              </w:rPr>
              <w:t>……</w:t>
            </w:r>
          </w:p>
          <w:p>
            <w:pPr>
              <w:spacing w:line="400" w:lineRule="exact"/>
              <w:ind w:firstLine="470" w:firstLineChars="196"/>
              <w:rPr>
                <w:rFonts w:ascii="宋体" w:hAnsi="宋体"/>
                <w:sz w:val="24"/>
              </w:rPr>
            </w:pPr>
            <w:r>
              <w:rPr>
                <w:rFonts w:hint="eastAsia" w:ascii="宋体" w:hAnsi="宋体"/>
                <w:sz w:val="24"/>
              </w:rPr>
              <w:t>（二）甲方融券业务存续期间，证券发行人分配投资收益、向证券持有人配售或无偿派发证券、发行证券持有人有优先认购权的证券，甲方在偿还债务时，除偿还初始所融入的证券，还应当向乙方支付与所融入证券可得利益相等的证券和资金</w:t>
            </w:r>
            <w:r>
              <w:rPr>
                <w:rFonts w:hint="eastAsia" w:ascii="宋体" w:hAnsi="宋体"/>
                <w:color w:val="000000" w:themeColor="text1"/>
                <w:sz w:val="24"/>
                <w14:textFill>
                  <w14:solidFill>
                    <w14:schemeClr w14:val="tx1"/>
                  </w14:solidFill>
                </w14:textFill>
              </w:rPr>
              <w:t>（融券权益补偿）</w:t>
            </w:r>
            <w:r>
              <w:rPr>
                <w:rFonts w:hint="eastAsia" w:ascii="宋体" w:hAnsi="宋体"/>
                <w:sz w:val="24"/>
              </w:rPr>
              <w:t>。</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1、证券发行人派发现金红利的，对于甲方已融券卖出部分，甲方应向乙方补偿对应金额的现金红利。补偿金额在现金红利发放日直接从甲方信用资金账户扣收，现金余额不足扣收部分转为待扣收。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2、证券发行人派发股票红利和转增股本等无偿派发证券（权证除外），对于甲方已融券卖出部分，甲方应向乙方补偿对应数量的证券。在相应除权除息日直接计增甲方融券负债，甲方需在偿还融券债务时一并偿还。</w:t>
            </w:r>
          </w:p>
          <w:p>
            <w:pPr>
              <w:spacing w:line="400" w:lineRule="exact"/>
              <w:ind w:firstLine="470" w:firstLineChars="196"/>
              <w:rPr>
                <w:rFonts w:ascii="宋体" w:hAnsi="宋体"/>
                <w:sz w:val="24"/>
              </w:rPr>
            </w:pPr>
            <w:r>
              <w:rPr>
                <w:rFonts w:hint="eastAsia" w:ascii="宋体" w:hAnsi="宋体"/>
                <w:sz w:val="24"/>
              </w:rPr>
              <w:t>3、证券发行人派发权证的，甲方应当在权益登记日前了结相关融券交易。甲方未在权益登记日前了结相关融券交易的，应以现金方式进行补偿，权益补偿金额＝权证上市首日成交均价×权证派发数量。</w:t>
            </w:r>
            <w:r>
              <w:rPr>
                <w:rFonts w:ascii="宋体" w:hAnsi="宋体"/>
                <w:sz w:val="24"/>
              </w:rPr>
              <w:t xml:space="preserve"> </w:t>
            </w:r>
          </w:p>
          <w:p>
            <w:pPr>
              <w:spacing w:line="400" w:lineRule="exact"/>
              <w:ind w:firstLine="482" w:firstLineChars="200"/>
              <w:rPr>
                <w:rFonts w:ascii="宋体" w:hAnsi="宋体"/>
                <w:sz w:val="24"/>
              </w:rPr>
            </w:pPr>
            <w:r>
              <w:rPr>
                <w:rFonts w:hint="eastAsia" w:ascii="宋体" w:hAnsi="宋体"/>
                <w:b/>
                <w:bCs/>
                <w:sz w:val="24"/>
              </w:rPr>
              <w:t>权益补偿金额在权证上市日</w:t>
            </w:r>
            <w:r>
              <w:rPr>
                <w:rFonts w:hint="eastAsia" w:ascii="宋体" w:hAnsi="宋体"/>
                <w:b/>
                <w:bCs/>
                <w:sz w:val="24"/>
                <w:lang w:eastAsia="zh-CN"/>
              </w:rPr>
              <w:t>的下一交易日</w:t>
            </w:r>
            <w:r>
              <w:rPr>
                <w:rFonts w:hint="eastAsia" w:ascii="宋体" w:hAnsi="宋体"/>
                <w:b/>
                <w:bCs/>
                <w:sz w:val="24"/>
              </w:rPr>
              <w:t>直接从甲方信用资金账户扣收</w:t>
            </w:r>
            <w:r>
              <w:rPr>
                <w:rFonts w:hint="eastAsia" w:ascii="宋体" w:hAnsi="宋体"/>
                <w:b/>
                <w:bCs/>
                <w:sz w:val="24"/>
                <w:lang w:eastAsia="zh-CN"/>
              </w:rPr>
              <w:t>，</w:t>
            </w:r>
            <w:r>
              <w:rPr>
                <w:rFonts w:hint="eastAsia" w:ascii="宋体" w:hAnsi="宋体"/>
                <w:b/>
                <w:bCs/>
                <w:sz w:val="24"/>
              </w:rPr>
              <w:t>不足扣收部分转为待扣收。</w:t>
            </w:r>
          </w:p>
          <w:p>
            <w:pPr>
              <w:spacing w:line="400" w:lineRule="exact"/>
              <w:ind w:firstLine="470" w:firstLineChars="196"/>
              <w:rPr>
                <w:rFonts w:ascii="宋体" w:hAnsi="宋体"/>
                <w:sz w:val="24"/>
              </w:rPr>
            </w:pP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融券交易期限届满日派发权证未上市的，融券交易期限不顺延。</w:t>
            </w:r>
          </w:p>
          <w:p>
            <w:pPr>
              <w:spacing w:line="400" w:lineRule="exact"/>
              <w:ind w:firstLine="470" w:firstLineChars="196"/>
              <w:rPr>
                <w:rFonts w:ascii="宋体" w:hAnsi="宋体"/>
                <w:sz w:val="24"/>
              </w:rPr>
            </w:pPr>
            <w:r>
              <w:rPr>
                <w:rFonts w:hint="eastAsia" w:ascii="宋体" w:hAnsi="宋体"/>
                <w:sz w:val="24"/>
              </w:rPr>
              <w:t>4、证券发行人向证券持有人配股，或者证券发行人增发新股以及发行权证、可转债等证券给予证券持有人优先认购权的，甲方应当在权益登记日前了结相关融券交易。甲方未在权益登记日前了结相关融券交易的，应以现金方式进行补偿。</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）证券发行人向证券持有人配股</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权益补偿金额＝（基准价格－配股除权价格）×融券数量。补偿金额小于零的，按零计算。</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其中：基准价格是配股登记日的收盘价格；配股除权价格，取理论配股除权价格与配股除权日成交均价两者之间较低的，理论配股除权价格＝（基准价格＋配股比例×配股价）</w:t>
            </w:r>
            <w:r>
              <w:rPr>
                <w:rFonts w:ascii="宋体" w:hAnsi="宋体"/>
                <w:sz w:val="24"/>
              </w:rPr>
              <w:t>/</w:t>
            </w:r>
            <w:r>
              <w:rPr>
                <w:rFonts w:hint="eastAsia" w:ascii="宋体" w:hAnsi="宋体"/>
                <w:sz w:val="24"/>
              </w:rPr>
              <w:t>（</w:t>
            </w:r>
            <w:r>
              <w:rPr>
                <w:rFonts w:ascii="宋体" w:hAnsi="宋体"/>
                <w:sz w:val="24"/>
              </w:rPr>
              <w:t>1</w:t>
            </w:r>
            <w:r>
              <w:rPr>
                <w:rFonts w:hint="eastAsia" w:ascii="宋体" w:hAnsi="宋体"/>
                <w:sz w:val="24"/>
              </w:rPr>
              <w:t>＋配股比例）。</w:t>
            </w:r>
            <w:r>
              <w:rPr>
                <w:rFonts w:ascii="宋体" w:hAnsi="宋体"/>
                <w:sz w:val="24"/>
              </w:rPr>
              <w:t xml:space="preserve"> </w:t>
            </w:r>
          </w:p>
          <w:p>
            <w:pPr>
              <w:spacing w:line="400" w:lineRule="exact"/>
              <w:ind w:firstLine="482" w:firstLineChars="200"/>
              <w:rPr>
                <w:rFonts w:ascii="宋体" w:hAnsi="宋体"/>
                <w:b/>
                <w:bCs/>
                <w:sz w:val="24"/>
              </w:rPr>
            </w:pPr>
            <w:r>
              <w:rPr>
                <w:rFonts w:hint="eastAsia" w:ascii="宋体" w:hAnsi="宋体"/>
                <w:b/>
                <w:bCs/>
                <w:sz w:val="24"/>
              </w:rPr>
              <w:t>权益补偿金额在配股除权日</w:t>
            </w:r>
            <w:r>
              <w:rPr>
                <w:rFonts w:hint="eastAsia" w:ascii="宋体" w:hAnsi="宋体"/>
                <w:b/>
                <w:bCs/>
                <w:sz w:val="24"/>
                <w:lang w:eastAsia="zh-CN"/>
              </w:rPr>
              <w:t>的下一交易日</w:t>
            </w:r>
            <w:r>
              <w:rPr>
                <w:rFonts w:hint="eastAsia" w:ascii="宋体" w:hAnsi="宋体"/>
                <w:b/>
                <w:bCs/>
                <w:sz w:val="24"/>
              </w:rPr>
              <w:t>直接从甲方信用资金账户中扣收，不足扣收部分转待扣收。</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）证券发行人增发新股、可转债或权证</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权益补偿金额＝（上市首日成交均价－认购价格）×应认购数量。补偿金额小于零的，按零计算。</w:t>
            </w:r>
            <w:r>
              <w:rPr>
                <w:rFonts w:ascii="宋体" w:hAnsi="宋体"/>
                <w:sz w:val="24"/>
              </w:rPr>
              <w:t xml:space="preserve"> </w:t>
            </w:r>
          </w:p>
          <w:p>
            <w:pPr>
              <w:spacing w:line="400" w:lineRule="exact"/>
              <w:ind w:firstLine="482" w:firstLineChars="200"/>
              <w:rPr>
                <w:rFonts w:ascii="宋体" w:hAnsi="宋体"/>
                <w:b/>
                <w:bCs/>
                <w:sz w:val="24"/>
              </w:rPr>
            </w:pPr>
            <w:r>
              <w:rPr>
                <w:rFonts w:hint="eastAsia" w:ascii="宋体" w:hAnsi="宋体"/>
                <w:b/>
                <w:bCs/>
                <w:sz w:val="24"/>
              </w:rPr>
              <w:t>权益补偿金额在相关证券上市日</w:t>
            </w:r>
            <w:r>
              <w:rPr>
                <w:rFonts w:hint="eastAsia" w:ascii="宋体" w:hAnsi="宋体"/>
                <w:b/>
                <w:bCs/>
                <w:sz w:val="24"/>
                <w:lang w:eastAsia="zh-CN"/>
              </w:rPr>
              <w:t>的下一个交易日</w:t>
            </w:r>
            <w:r>
              <w:rPr>
                <w:rFonts w:hint="eastAsia" w:ascii="宋体" w:hAnsi="宋体"/>
                <w:b/>
                <w:bCs/>
                <w:sz w:val="24"/>
              </w:rPr>
              <w:t>直接从甲方信用资金账户扣收</w:t>
            </w:r>
            <w:r>
              <w:rPr>
                <w:rFonts w:hint="eastAsia" w:ascii="宋体" w:hAnsi="宋体"/>
                <w:b/>
                <w:bCs/>
                <w:sz w:val="24"/>
                <w:lang w:eastAsia="zh-CN"/>
              </w:rPr>
              <w:t>，</w:t>
            </w:r>
            <w:r>
              <w:rPr>
                <w:rFonts w:hint="eastAsia" w:ascii="宋体" w:hAnsi="宋体"/>
                <w:b/>
                <w:bCs/>
                <w:sz w:val="24"/>
              </w:rPr>
              <w:t>不足扣收部分转为待扣收。</w:t>
            </w:r>
          </w:p>
          <w:p>
            <w:pPr>
              <w:spacing w:line="400" w:lineRule="exact"/>
              <w:ind w:firstLine="470" w:firstLineChars="196"/>
              <w:rPr>
                <w:rFonts w:ascii="宋体" w:hAnsi="宋体"/>
                <w:sz w:val="24"/>
              </w:rPr>
            </w:pPr>
            <w:r>
              <w:rPr>
                <w:rFonts w:hint="eastAsia" w:ascii="宋体" w:hAnsi="宋体"/>
                <w:sz w:val="24"/>
              </w:rPr>
              <w:t>融券交易期限届满日相关证券未上市的，融券交易期限不顺延。</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5、甲方融券卖出证券发生本节所述情形产生融券权益补偿，在计算维持担保比例和保证金可用余额等指标时，应考虑融券权益补偿因素，融券卖出证券市值应增加融券权益补偿。</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6、甲方应充分关注融券交易发生的权益补偿及对维持担保比例和保证金可用余额的影响，在信用资金账户保留足额资金用于支付融券权益补偿金额。因权益补偿金额扣收导致甲方信用资金账户维持担保比例和保证金可用余额的变化及因此产生的后果，乙方不承担任何责任。</w:t>
            </w:r>
            <w:r>
              <w:rPr>
                <w:rFonts w:ascii="宋体" w:hAnsi="宋体"/>
                <w:sz w:val="24"/>
              </w:rPr>
              <w:t xml:space="preserve"> </w:t>
            </w:r>
          </w:p>
          <w:p>
            <w:pPr>
              <w:spacing w:line="400" w:lineRule="exact"/>
              <w:ind w:firstLine="470" w:firstLineChars="196"/>
              <w:rPr>
                <w:rFonts w:ascii="宋体" w:hAnsi="宋体"/>
                <w:sz w:val="24"/>
              </w:rPr>
            </w:pPr>
            <w:r>
              <w:rPr>
                <w:rFonts w:hint="eastAsia" w:ascii="宋体" w:hAnsi="宋体"/>
                <w:sz w:val="24"/>
              </w:rPr>
              <w:t>发生合同未约定情形时，甲乙双方根据本合同确定的原则和实际损益情况协商确定融券权益补偿，但甲方仍应按时足额偿还其他融券负债。</w:t>
            </w:r>
          </w:p>
          <w:p>
            <w:pPr>
              <w:tabs>
                <w:tab w:val="left" w:pos="0"/>
                <w:tab w:val="left" w:pos="180"/>
              </w:tabs>
              <w:spacing w:line="400" w:lineRule="exact"/>
              <w:ind w:right="25" w:rightChars="12" w:firstLine="489" w:firstLineChars="204"/>
              <w:rPr>
                <w:rFonts w:ascii="宋体" w:hAnsi="宋体" w:eastAsiaTheme="minorEastAsia" w:cstheme="minorBidi"/>
                <w:kern w:val="2"/>
                <w:sz w:val="24"/>
                <w:szCs w:val="22"/>
                <w:lang w:val="en-US" w:eastAsia="zh-CN" w:bidi="ar-SA"/>
              </w:rPr>
            </w:pPr>
          </w:p>
        </w:tc>
      </w:tr>
    </w:tbl>
    <w:p>
      <w:pPr>
        <w:jc w:val="cente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10058"/>
    <w:multiLevelType w:val="singleLevel"/>
    <w:tmpl w:val="C7610058"/>
    <w:lvl w:ilvl="0" w:tentative="0">
      <w:start w:val="13"/>
      <w:numFmt w:val="chineseCounting"/>
      <w:suff w:val="space"/>
      <w:lvlText w:val="第%1条"/>
      <w:lvlJc w:val="left"/>
      <w:rPr>
        <w:rFonts w:hint="eastAsia"/>
      </w:rPr>
    </w:lvl>
  </w:abstractNum>
  <w:abstractNum w:abstractNumId="1">
    <w:nsid w:val="E5FCE2F2"/>
    <w:multiLevelType w:val="singleLevel"/>
    <w:tmpl w:val="E5FCE2F2"/>
    <w:lvl w:ilvl="0" w:tentative="0">
      <w:start w:val="4"/>
      <w:numFmt w:val="chineseCounting"/>
      <w:suff w:val="nothing"/>
      <w:lvlText w:val="（%1）"/>
      <w:lvlJc w:val="left"/>
      <w:rPr>
        <w:rFonts w:hint="eastAsia"/>
      </w:rPr>
    </w:lvl>
  </w:abstractNum>
  <w:abstractNum w:abstractNumId="2">
    <w:nsid w:val="2F8C0BA6"/>
    <w:multiLevelType w:val="singleLevel"/>
    <w:tmpl w:val="2F8C0BA6"/>
    <w:lvl w:ilvl="0" w:tentative="0">
      <w:start w:val="13"/>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ODU1ZDE4MGU4Y2JkMzZiYTYzY2Y3NWU1Mzk1NWYifQ=="/>
  </w:docVars>
  <w:rsids>
    <w:rsidRoot w:val="00E55019"/>
    <w:rsid w:val="0000078E"/>
    <w:rsid w:val="00002FE6"/>
    <w:rsid w:val="00012D61"/>
    <w:rsid w:val="000144DF"/>
    <w:rsid w:val="00017833"/>
    <w:rsid w:val="00023B94"/>
    <w:rsid w:val="000275E2"/>
    <w:rsid w:val="0003071C"/>
    <w:rsid w:val="00030EAB"/>
    <w:rsid w:val="00032484"/>
    <w:rsid w:val="00037B2D"/>
    <w:rsid w:val="00041179"/>
    <w:rsid w:val="00042229"/>
    <w:rsid w:val="0004403F"/>
    <w:rsid w:val="00047801"/>
    <w:rsid w:val="000606DD"/>
    <w:rsid w:val="00067929"/>
    <w:rsid w:val="00067F82"/>
    <w:rsid w:val="00071218"/>
    <w:rsid w:val="00072719"/>
    <w:rsid w:val="00075890"/>
    <w:rsid w:val="00075F19"/>
    <w:rsid w:val="00077321"/>
    <w:rsid w:val="00081DE4"/>
    <w:rsid w:val="00083794"/>
    <w:rsid w:val="000855B8"/>
    <w:rsid w:val="00090B30"/>
    <w:rsid w:val="00093596"/>
    <w:rsid w:val="00093A26"/>
    <w:rsid w:val="000A33EE"/>
    <w:rsid w:val="000A75E3"/>
    <w:rsid w:val="000A7788"/>
    <w:rsid w:val="000C3C2F"/>
    <w:rsid w:val="000D0628"/>
    <w:rsid w:val="000D11CB"/>
    <w:rsid w:val="000D1FFE"/>
    <w:rsid w:val="000D6A35"/>
    <w:rsid w:val="000F19CF"/>
    <w:rsid w:val="00110638"/>
    <w:rsid w:val="001157A8"/>
    <w:rsid w:val="00117528"/>
    <w:rsid w:val="00124109"/>
    <w:rsid w:val="00124F48"/>
    <w:rsid w:val="00131005"/>
    <w:rsid w:val="001324BD"/>
    <w:rsid w:val="00135B6E"/>
    <w:rsid w:val="00136081"/>
    <w:rsid w:val="00137924"/>
    <w:rsid w:val="001450B9"/>
    <w:rsid w:val="0014641C"/>
    <w:rsid w:val="001507FD"/>
    <w:rsid w:val="0015156B"/>
    <w:rsid w:val="00155A15"/>
    <w:rsid w:val="00157433"/>
    <w:rsid w:val="001615E8"/>
    <w:rsid w:val="00166BD6"/>
    <w:rsid w:val="00174402"/>
    <w:rsid w:val="001814A5"/>
    <w:rsid w:val="0019028C"/>
    <w:rsid w:val="00192D58"/>
    <w:rsid w:val="001959F3"/>
    <w:rsid w:val="001A557B"/>
    <w:rsid w:val="001B7B25"/>
    <w:rsid w:val="001C1435"/>
    <w:rsid w:val="001C33B2"/>
    <w:rsid w:val="001C6EA8"/>
    <w:rsid w:val="001D2A3D"/>
    <w:rsid w:val="001E0FEF"/>
    <w:rsid w:val="001E346A"/>
    <w:rsid w:val="001E423A"/>
    <w:rsid w:val="001F3411"/>
    <w:rsid w:val="001F569F"/>
    <w:rsid w:val="001F5739"/>
    <w:rsid w:val="001F7D71"/>
    <w:rsid w:val="00203C56"/>
    <w:rsid w:val="0021723A"/>
    <w:rsid w:val="002224C9"/>
    <w:rsid w:val="002247E6"/>
    <w:rsid w:val="00224DD1"/>
    <w:rsid w:val="0024693C"/>
    <w:rsid w:val="00247B70"/>
    <w:rsid w:val="00260C88"/>
    <w:rsid w:val="00265D8B"/>
    <w:rsid w:val="00271683"/>
    <w:rsid w:val="00271A76"/>
    <w:rsid w:val="00273F8E"/>
    <w:rsid w:val="00275893"/>
    <w:rsid w:val="00277478"/>
    <w:rsid w:val="00280761"/>
    <w:rsid w:val="002935A7"/>
    <w:rsid w:val="002939F4"/>
    <w:rsid w:val="002947B4"/>
    <w:rsid w:val="00297B35"/>
    <w:rsid w:val="002A0860"/>
    <w:rsid w:val="002A225A"/>
    <w:rsid w:val="002A4651"/>
    <w:rsid w:val="002A5A23"/>
    <w:rsid w:val="002C1BF3"/>
    <w:rsid w:val="002C466C"/>
    <w:rsid w:val="002D1F29"/>
    <w:rsid w:val="002E01FE"/>
    <w:rsid w:val="002F47D5"/>
    <w:rsid w:val="002F6AF6"/>
    <w:rsid w:val="00300F4A"/>
    <w:rsid w:val="00304DC2"/>
    <w:rsid w:val="00310A1D"/>
    <w:rsid w:val="00322EE4"/>
    <w:rsid w:val="00332976"/>
    <w:rsid w:val="00333A91"/>
    <w:rsid w:val="00333EE4"/>
    <w:rsid w:val="003416FE"/>
    <w:rsid w:val="00344B2C"/>
    <w:rsid w:val="003556E4"/>
    <w:rsid w:val="003619F0"/>
    <w:rsid w:val="00361D92"/>
    <w:rsid w:val="003707D8"/>
    <w:rsid w:val="00372E26"/>
    <w:rsid w:val="00373147"/>
    <w:rsid w:val="00373318"/>
    <w:rsid w:val="003737C4"/>
    <w:rsid w:val="00375A41"/>
    <w:rsid w:val="00393BFE"/>
    <w:rsid w:val="00394F5A"/>
    <w:rsid w:val="003A3844"/>
    <w:rsid w:val="003A6AE4"/>
    <w:rsid w:val="003B0344"/>
    <w:rsid w:val="003B5B45"/>
    <w:rsid w:val="003B7C6A"/>
    <w:rsid w:val="003C4485"/>
    <w:rsid w:val="003C48C7"/>
    <w:rsid w:val="003C4A06"/>
    <w:rsid w:val="003C5EC6"/>
    <w:rsid w:val="003D4D3F"/>
    <w:rsid w:val="003E3FDE"/>
    <w:rsid w:val="003E6443"/>
    <w:rsid w:val="003E6814"/>
    <w:rsid w:val="003F16AA"/>
    <w:rsid w:val="003F19BB"/>
    <w:rsid w:val="003F24C3"/>
    <w:rsid w:val="00402CF9"/>
    <w:rsid w:val="00405669"/>
    <w:rsid w:val="00411581"/>
    <w:rsid w:val="004121CD"/>
    <w:rsid w:val="004203EC"/>
    <w:rsid w:val="00423FC4"/>
    <w:rsid w:val="00423FEF"/>
    <w:rsid w:val="00426235"/>
    <w:rsid w:val="004318B1"/>
    <w:rsid w:val="00432507"/>
    <w:rsid w:val="00434574"/>
    <w:rsid w:val="004377FC"/>
    <w:rsid w:val="00440577"/>
    <w:rsid w:val="0044228B"/>
    <w:rsid w:val="0044347B"/>
    <w:rsid w:val="00450CBB"/>
    <w:rsid w:val="004522F0"/>
    <w:rsid w:val="00454145"/>
    <w:rsid w:val="00462F6F"/>
    <w:rsid w:val="00463E95"/>
    <w:rsid w:val="00486E53"/>
    <w:rsid w:val="00497778"/>
    <w:rsid w:val="004A17EF"/>
    <w:rsid w:val="004A2574"/>
    <w:rsid w:val="004A6BC9"/>
    <w:rsid w:val="004B0F6E"/>
    <w:rsid w:val="004B4D55"/>
    <w:rsid w:val="004B5296"/>
    <w:rsid w:val="004C424D"/>
    <w:rsid w:val="004D6BB5"/>
    <w:rsid w:val="004E224B"/>
    <w:rsid w:val="004E2729"/>
    <w:rsid w:val="004F1388"/>
    <w:rsid w:val="004F4734"/>
    <w:rsid w:val="004F70CE"/>
    <w:rsid w:val="00506CB9"/>
    <w:rsid w:val="00516C67"/>
    <w:rsid w:val="00520BC2"/>
    <w:rsid w:val="005254F3"/>
    <w:rsid w:val="005271D9"/>
    <w:rsid w:val="005346EC"/>
    <w:rsid w:val="0054177C"/>
    <w:rsid w:val="00562ADE"/>
    <w:rsid w:val="0057054A"/>
    <w:rsid w:val="00570C71"/>
    <w:rsid w:val="00572978"/>
    <w:rsid w:val="00577C22"/>
    <w:rsid w:val="005A28DB"/>
    <w:rsid w:val="005A2D84"/>
    <w:rsid w:val="005A43BF"/>
    <w:rsid w:val="005A5B6F"/>
    <w:rsid w:val="005B5BC1"/>
    <w:rsid w:val="005B71D2"/>
    <w:rsid w:val="005C5EB7"/>
    <w:rsid w:val="005C6CA0"/>
    <w:rsid w:val="005D0AF8"/>
    <w:rsid w:val="005E0901"/>
    <w:rsid w:val="005E4A91"/>
    <w:rsid w:val="005E6368"/>
    <w:rsid w:val="005E687F"/>
    <w:rsid w:val="005F0EAB"/>
    <w:rsid w:val="005F5FBF"/>
    <w:rsid w:val="00613634"/>
    <w:rsid w:val="00621C28"/>
    <w:rsid w:val="0063250B"/>
    <w:rsid w:val="00634920"/>
    <w:rsid w:val="0063718E"/>
    <w:rsid w:val="00651624"/>
    <w:rsid w:val="00652936"/>
    <w:rsid w:val="006549D7"/>
    <w:rsid w:val="006563E0"/>
    <w:rsid w:val="006617A3"/>
    <w:rsid w:val="00661D26"/>
    <w:rsid w:val="00665FF8"/>
    <w:rsid w:val="00673E8D"/>
    <w:rsid w:val="006740A6"/>
    <w:rsid w:val="006800A7"/>
    <w:rsid w:val="0068583A"/>
    <w:rsid w:val="00685B99"/>
    <w:rsid w:val="00686335"/>
    <w:rsid w:val="00694C4C"/>
    <w:rsid w:val="00696794"/>
    <w:rsid w:val="006B4E8D"/>
    <w:rsid w:val="006C47BB"/>
    <w:rsid w:val="006D0A21"/>
    <w:rsid w:val="006D233C"/>
    <w:rsid w:val="006D39BA"/>
    <w:rsid w:val="006D4A28"/>
    <w:rsid w:val="006D6056"/>
    <w:rsid w:val="006E18C2"/>
    <w:rsid w:val="006F1FDB"/>
    <w:rsid w:val="006F5EE7"/>
    <w:rsid w:val="0070051F"/>
    <w:rsid w:val="007054A5"/>
    <w:rsid w:val="0070609F"/>
    <w:rsid w:val="00712546"/>
    <w:rsid w:val="00721919"/>
    <w:rsid w:val="00721DFC"/>
    <w:rsid w:val="0072528C"/>
    <w:rsid w:val="00734864"/>
    <w:rsid w:val="00741D3D"/>
    <w:rsid w:val="00750AB1"/>
    <w:rsid w:val="00770EF0"/>
    <w:rsid w:val="00771AAE"/>
    <w:rsid w:val="00773E8E"/>
    <w:rsid w:val="00781646"/>
    <w:rsid w:val="0078524D"/>
    <w:rsid w:val="00796BCF"/>
    <w:rsid w:val="00797B39"/>
    <w:rsid w:val="007A357A"/>
    <w:rsid w:val="007B0048"/>
    <w:rsid w:val="007B175B"/>
    <w:rsid w:val="007C2091"/>
    <w:rsid w:val="007C69F2"/>
    <w:rsid w:val="007C73A8"/>
    <w:rsid w:val="007E0FE6"/>
    <w:rsid w:val="007E6B53"/>
    <w:rsid w:val="007F0801"/>
    <w:rsid w:val="00802575"/>
    <w:rsid w:val="0081523C"/>
    <w:rsid w:val="008171E9"/>
    <w:rsid w:val="00817565"/>
    <w:rsid w:val="008349A1"/>
    <w:rsid w:val="008366D3"/>
    <w:rsid w:val="00836CA5"/>
    <w:rsid w:val="008406E8"/>
    <w:rsid w:val="00842746"/>
    <w:rsid w:val="008605B9"/>
    <w:rsid w:val="00861E12"/>
    <w:rsid w:val="00873D90"/>
    <w:rsid w:val="00873DB3"/>
    <w:rsid w:val="0087448C"/>
    <w:rsid w:val="00875930"/>
    <w:rsid w:val="0087764B"/>
    <w:rsid w:val="00885AED"/>
    <w:rsid w:val="0089289C"/>
    <w:rsid w:val="0089439A"/>
    <w:rsid w:val="00896C08"/>
    <w:rsid w:val="00897435"/>
    <w:rsid w:val="008A2EF5"/>
    <w:rsid w:val="008A56EF"/>
    <w:rsid w:val="008C0230"/>
    <w:rsid w:val="008C1C74"/>
    <w:rsid w:val="008C50A4"/>
    <w:rsid w:val="008C569B"/>
    <w:rsid w:val="008D4EA9"/>
    <w:rsid w:val="008D6D49"/>
    <w:rsid w:val="008E168C"/>
    <w:rsid w:val="008E1B68"/>
    <w:rsid w:val="008E5C90"/>
    <w:rsid w:val="008F02DD"/>
    <w:rsid w:val="008F20BA"/>
    <w:rsid w:val="008F25A8"/>
    <w:rsid w:val="008F2B2A"/>
    <w:rsid w:val="008F7C44"/>
    <w:rsid w:val="00902184"/>
    <w:rsid w:val="009025B1"/>
    <w:rsid w:val="00905C4A"/>
    <w:rsid w:val="00914438"/>
    <w:rsid w:val="009149A2"/>
    <w:rsid w:val="009229E6"/>
    <w:rsid w:val="00922AAB"/>
    <w:rsid w:val="00926A90"/>
    <w:rsid w:val="00926AB6"/>
    <w:rsid w:val="0092718E"/>
    <w:rsid w:val="009366F4"/>
    <w:rsid w:val="009408DF"/>
    <w:rsid w:val="009413EB"/>
    <w:rsid w:val="00943236"/>
    <w:rsid w:val="009524C9"/>
    <w:rsid w:val="00954C9D"/>
    <w:rsid w:val="00954F18"/>
    <w:rsid w:val="00964015"/>
    <w:rsid w:val="00973F77"/>
    <w:rsid w:val="00977AE9"/>
    <w:rsid w:val="00984110"/>
    <w:rsid w:val="00990974"/>
    <w:rsid w:val="00992B0B"/>
    <w:rsid w:val="009938DF"/>
    <w:rsid w:val="00995968"/>
    <w:rsid w:val="00995F42"/>
    <w:rsid w:val="009A4D99"/>
    <w:rsid w:val="009B3038"/>
    <w:rsid w:val="009C5C1A"/>
    <w:rsid w:val="009D255D"/>
    <w:rsid w:val="009D334F"/>
    <w:rsid w:val="009D49DE"/>
    <w:rsid w:val="009D685A"/>
    <w:rsid w:val="009E111A"/>
    <w:rsid w:val="009E5570"/>
    <w:rsid w:val="009E70D0"/>
    <w:rsid w:val="009F289F"/>
    <w:rsid w:val="009F772C"/>
    <w:rsid w:val="00A02E69"/>
    <w:rsid w:val="00A0798E"/>
    <w:rsid w:val="00A12F60"/>
    <w:rsid w:val="00A2457F"/>
    <w:rsid w:val="00A345EE"/>
    <w:rsid w:val="00A35CF7"/>
    <w:rsid w:val="00A36007"/>
    <w:rsid w:val="00A375D0"/>
    <w:rsid w:val="00A436EF"/>
    <w:rsid w:val="00A437EA"/>
    <w:rsid w:val="00A46B4F"/>
    <w:rsid w:val="00A5623B"/>
    <w:rsid w:val="00A66A7F"/>
    <w:rsid w:val="00A70D14"/>
    <w:rsid w:val="00A74180"/>
    <w:rsid w:val="00A75E75"/>
    <w:rsid w:val="00A80648"/>
    <w:rsid w:val="00A87038"/>
    <w:rsid w:val="00A90481"/>
    <w:rsid w:val="00A9277B"/>
    <w:rsid w:val="00A92ECC"/>
    <w:rsid w:val="00A97904"/>
    <w:rsid w:val="00AB18BB"/>
    <w:rsid w:val="00AB1B80"/>
    <w:rsid w:val="00AB486B"/>
    <w:rsid w:val="00AB58A9"/>
    <w:rsid w:val="00AB5CB7"/>
    <w:rsid w:val="00AB5D54"/>
    <w:rsid w:val="00AC342D"/>
    <w:rsid w:val="00AC6DC6"/>
    <w:rsid w:val="00AC7D94"/>
    <w:rsid w:val="00AE0C9B"/>
    <w:rsid w:val="00AE1F4B"/>
    <w:rsid w:val="00AE3107"/>
    <w:rsid w:val="00AE49B2"/>
    <w:rsid w:val="00AE560B"/>
    <w:rsid w:val="00AE5FE7"/>
    <w:rsid w:val="00AF44C9"/>
    <w:rsid w:val="00AF5B08"/>
    <w:rsid w:val="00B026E8"/>
    <w:rsid w:val="00B07240"/>
    <w:rsid w:val="00B217C5"/>
    <w:rsid w:val="00B24EBC"/>
    <w:rsid w:val="00B3137D"/>
    <w:rsid w:val="00B3187D"/>
    <w:rsid w:val="00B33B2F"/>
    <w:rsid w:val="00B40C16"/>
    <w:rsid w:val="00B44428"/>
    <w:rsid w:val="00B452EA"/>
    <w:rsid w:val="00B4596B"/>
    <w:rsid w:val="00B6050D"/>
    <w:rsid w:val="00B64453"/>
    <w:rsid w:val="00B660A6"/>
    <w:rsid w:val="00B70EFD"/>
    <w:rsid w:val="00B7173B"/>
    <w:rsid w:val="00B75351"/>
    <w:rsid w:val="00B77216"/>
    <w:rsid w:val="00B808DF"/>
    <w:rsid w:val="00B80B75"/>
    <w:rsid w:val="00B8697A"/>
    <w:rsid w:val="00B96E57"/>
    <w:rsid w:val="00BA08BE"/>
    <w:rsid w:val="00BA1A9C"/>
    <w:rsid w:val="00BB16CD"/>
    <w:rsid w:val="00BB464D"/>
    <w:rsid w:val="00BC554A"/>
    <w:rsid w:val="00BD3AC7"/>
    <w:rsid w:val="00BD5305"/>
    <w:rsid w:val="00BD7F68"/>
    <w:rsid w:val="00BE5875"/>
    <w:rsid w:val="00BF640A"/>
    <w:rsid w:val="00C22DF3"/>
    <w:rsid w:val="00C312FB"/>
    <w:rsid w:val="00C32293"/>
    <w:rsid w:val="00C332C0"/>
    <w:rsid w:val="00C3679E"/>
    <w:rsid w:val="00C37085"/>
    <w:rsid w:val="00C4374D"/>
    <w:rsid w:val="00C44509"/>
    <w:rsid w:val="00C45F93"/>
    <w:rsid w:val="00C54ABB"/>
    <w:rsid w:val="00C648BA"/>
    <w:rsid w:val="00C64989"/>
    <w:rsid w:val="00C70883"/>
    <w:rsid w:val="00C72D11"/>
    <w:rsid w:val="00C7762F"/>
    <w:rsid w:val="00C8495D"/>
    <w:rsid w:val="00C92CA9"/>
    <w:rsid w:val="00CA38E1"/>
    <w:rsid w:val="00CA3FA7"/>
    <w:rsid w:val="00CA4FB8"/>
    <w:rsid w:val="00CB0A54"/>
    <w:rsid w:val="00CB0E87"/>
    <w:rsid w:val="00CB0FFE"/>
    <w:rsid w:val="00CB56DE"/>
    <w:rsid w:val="00CC7AAD"/>
    <w:rsid w:val="00CD1085"/>
    <w:rsid w:val="00CD345C"/>
    <w:rsid w:val="00CD46E2"/>
    <w:rsid w:val="00CD5C6F"/>
    <w:rsid w:val="00CE5013"/>
    <w:rsid w:val="00CF63DD"/>
    <w:rsid w:val="00CF6563"/>
    <w:rsid w:val="00CF65B1"/>
    <w:rsid w:val="00D064ED"/>
    <w:rsid w:val="00D142AA"/>
    <w:rsid w:val="00D14B4E"/>
    <w:rsid w:val="00D15762"/>
    <w:rsid w:val="00D17D63"/>
    <w:rsid w:val="00D2010B"/>
    <w:rsid w:val="00D210BA"/>
    <w:rsid w:val="00D31548"/>
    <w:rsid w:val="00D32959"/>
    <w:rsid w:val="00D351CE"/>
    <w:rsid w:val="00D36B9D"/>
    <w:rsid w:val="00D414ED"/>
    <w:rsid w:val="00D433D2"/>
    <w:rsid w:val="00D57663"/>
    <w:rsid w:val="00D60356"/>
    <w:rsid w:val="00D6450E"/>
    <w:rsid w:val="00D65A85"/>
    <w:rsid w:val="00D723AA"/>
    <w:rsid w:val="00D74492"/>
    <w:rsid w:val="00D744DF"/>
    <w:rsid w:val="00D77328"/>
    <w:rsid w:val="00D810A1"/>
    <w:rsid w:val="00D848B5"/>
    <w:rsid w:val="00D87F28"/>
    <w:rsid w:val="00D91014"/>
    <w:rsid w:val="00D959AB"/>
    <w:rsid w:val="00DA1369"/>
    <w:rsid w:val="00DA7ECF"/>
    <w:rsid w:val="00DC2E0C"/>
    <w:rsid w:val="00DC52A6"/>
    <w:rsid w:val="00DE7121"/>
    <w:rsid w:val="00DF510C"/>
    <w:rsid w:val="00DF670F"/>
    <w:rsid w:val="00E00C5B"/>
    <w:rsid w:val="00E03600"/>
    <w:rsid w:val="00E10101"/>
    <w:rsid w:val="00E22F80"/>
    <w:rsid w:val="00E3523B"/>
    <w:rsid w:val="00E37259"/>
    <w:rsid w:val="00E37C20"/>
    <w:rsid w:val="00E43956"/>
    <w:rsid w:val="00E54507"/>
    <w:rsid w:val="00E55019"/>
    <w:rsid w:val="00E614D7"/>
    <w:rsid w:val="00E61D8C"/>
    <w:rsid w:val="00E63402"/>
    <w:rsid w:val="00E6727A"/>
    <w:rsid w:val="00E70043"/>
    <w:rsid w:val="00E747DB"/>
    <w:rsid w:val="00E765F6"/>
    <w:rsid w:val="00E977C7"/>
    <w:rsid w:val="00EA098E"/>
    <w:rsid w:val="00EA25D5"/>
    <w:rsid w:val="00EA42A1"/>
    <w:rsid w:val="00EB400E"/>
    <w:rsid w:val="00EB60E4"/>
    <w:rsid w:val="00EB7468"/>
    <w:rsid w:val="00EC366F"/>
    <w:rsid w:val="00ED21EC"/>
    <w:rsid w:val="00ED50C8"/>
    <w:rsid w:val="00ED5524"/>
    <w:rsid w:val="00ED6082"/>
    <w:rsid w:val="00ED7B0A"/>
    <w:rsid w:val="00EE0ACA"/>
    <w:rsid w:val="00EE2C01"/>
    <w:rsid w:val="00EE3321"/>
    <w:rsid w:val="00EE43E1"/>
    <w:rsid w:val="00EE4B99"/>
    <w:rsid w:val="00EF423B"/>
    <w:rsid w:val="00EF4DD3"/>
    <w:rsid w:val="00F0396A"/>
    <w:rsid w:val="00F05EFD"/>
    <w:rsid w:val="00F07B1C"/>
    <w:rsid w:val="00F07E3B"/>
    <w:rsid w:val="00F11BDD"/>
    <w:rsid w:val="00F13468"/>
    <w:rsid w:val="00F21469"/>
    <w:rsid w:val="00F21BC2"/>
    <w:rsid w:val="00F244E9"/>
    <w:rsid w:val="00F255C6"/>
    <w:rsid w:val="00F26134"/>
    <w:rsid w:val="00F304AF"/>
    <w:rsid w:val="00F33EA1"/>
    <w:rsid w:val="00F34D2D"/>
    <w:rsid w:val="00F43C53"/>
    <w:rsid w:val="00F447BC"/>
    <w:rsid w:val="00F456FB"/>
    <w:rsid w:val="00F537D4"/>
    <w:rsid w:val="00F545F6"/>
    <w:rsid w:val="00F5767D"/>
    <w:rsid w:val="00F63204"/>
    <w:rsid w:val="00F65095"/>
    <w:rsid w:val="00F717ED"/>
    <w:rsid w:val="00F737BE"/>
    <w:rsid w:val="00F804E6"/>
    <w:rsid w:val="00F865B1"/>
    <w:rsid w:val="00FA2205"/>
    <w:rsid w:val="00FA7C59"/>
    <w:rsid w:val="00FB0B7F"/>
    <w:rsid w:val="00FB294D"/>
    <w:rsid w:val="00FB3164"/>
    <w:rsid w:val="00FB3BDE"/>
    <w:rsid w:val="00FB4072"/>
    <w:rsid w:val="00FB6EAB"/>
    <w:rsid w:val="00FC12B3"/>
    <w:rsid w:val="00FC227C"/>
    <w:rsid w:val="00FC28F1"/>
    <w:rsid w:val="00FC6D66"/>
    <w:rsid w:val="00FD432D"/>
    <w:rsid w:val="00FD4C03"/>
    <w:rsid w:val="00FD765E"/>
    <w:rsid w:val="00FE08C1"/>
    <w:rsid w:val="00FE771F"/>
    <w:rsid w:val="03E0215D"/>
    <w:rsid w:val="04D0213A"/>
    <w:rsid w:val="0548762F"/>
    <w:rsid w:val="06C54CB0"/>
    <w:rsid w:val="077A5458"/>
    <w:rsid w:val="0AA01CBB"/>
    <w:rsid w:val="0C112B64"/>
    <w:rsid w:val="0D776420"/>
    <w:rsid w:val="0ECA723E"/>
    <w:rsid w:val="0ED767A3"/>
    <w:rsid w:val="0ED7752B"/>
    <w:rsid w:val="101F74BB"/>
    <w:rsid w:val="11132FC4"/>
    <w:rsid w:val="11511637"/>
    <w:rsid w:val="12592F32"/>
    <w:rsid w:val="130D1EB8"/>
    <w:rsid w:val="158A450D"/>
    <w:rsid w:val="1A0A53A3"/>
    <w:rsid w:val="1B1E1106"/>
    <w:rsid w:val="1B4D379A"/>
    <w:rsid w:val="1DB45D52"/>
    <w:rsid w:val="20D858B3"/>
    <w:rsid w:val="211C60E8"/>
    <w:rsid w:val="21935C7E"/>
    <w:rsid w:val="21F030D1"/>
    <w:rsid w:val="21F1033C"/>
    <w:rsid w:val="22FF2F0C"/>
    <w:rsid w:val="234611FA"/>
    <w:rsid w:val="2484473D"/>
    <w:rsid w:val="25C96113"/>
    <w:rsid w:val="2A1A0CEB"/>
    <w:rsid w:val="2ED45D21"/>
    <w:rsid w:val="2F6E037A"/>
    <w:rsid w:val="30200872"/>
    <w:rsid w:val="33552D94"/>
    <w:rsid w:val="34452E08"/>
    <w:rsid w:val="34854E0B"/>
    <w:rsid w:val="359A3628"/>
    <w:rsid w:val="35A973C7"/>
    <w:rsid w:val="374B2E2B"/>
    <w:rsid w:val="37732382"/>
    <w:rsid w:val="392C0A3B"/>
    <w:rsid w:val="3A734626"/>
    <w:rsid w:val="3A816B64"/>
    <w:rsid w:val="3A95616C"/>
    <w:rsid w:val="3A9C74FA"/>
    <w:rsid w:val="3C4D13F4"/>
    <w:rsid w:val="3EBA43F3"/>
    <w:rsid w:val="41016309"/>
    <w:rsid w:val="42DF267A"/>
    <w:rsid w:val="46873754"/>
    <w:rsid w:val="46F54B62"/>
    <w:rsid w:val="47A86E12"/>
    <w:rsid w:val="47FD45D6"/>
    <w:rsid w:val="48205C0E"/>
    <w:rsid w:val="49177011"/>
    <w:rsid w:val="4E141D71"/>
    <w:rsid w:val="4FCE5F50"/>
    <w:rsid w:val="52151C14"/>
    <w:rsid w:val="535E56F6"/>
    <w:rsid w:val="535E7A83"/>
    <w:rsid w:val="55AE4859"/>
    <w:rsid w:val="56847368"/>
    <w:rsid w:val="594A6647"/>
    <w:rsid w:val="5A0A5DD6"/>
    <w:rsid w:val="5A117165"/>
    <w:rsid w:val="5BE10DB9"/>
    <w:rsid w:val="5C911BA2"/>
    <w:rsid w:val="5D551D45"/>
    <w:rsid w:val="5DD50C3D"/>
    <w:rsid w:val="61B054B5"/>
    <w:rsid w:val="63224191"/>
    <w:rsid w:val="648D1ADE"/>
    <w:rsid w:val="65E43CF8"/>
    <w:rsid w:val="673D3C8F"/>
    <w:rsid w:val="67DD2D7C"/>
    <w:rsid w:val="691D509A"/>
    <w:rsid w:val="6E631AD2"/>
    <w:rsid w:val="6E6733A0"/>
    <w:rsid w:val="6EA6211A"/>
    <w:rsid w:val="71E52F59"/>
    <w:rsid w:val="73AD3F4B"/>
    <w:rsid w:val="74C64A1A"/>
    <w:rsid w:val="76AB390C"/>
    <w:rsid w:val="78793A13"/>
    <w:rsid w:val="78C41F08"/>
    <w:rsid w:val="799314ED"/>
    <w:rsid w:val="7ABE6A3D"/>
    <w:rsid w:val="7B424F78"/>
    <w:rsid w:val="7C372603"/>
    <w:rsid w:val="7C9F2C13"/>
    <w:rsid w:val="7D060228"/>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ascii="Times New Roman" w:hAnsi="Times New Roman"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文字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21</Pages>
  <Words>2647</Words>
  <Characters>15091</Characters>
  <Lines>125</Lines>
  <Paragraphs>35</Paragraphs>
  <TotalTime>6</TotalTime>
  <ScaleCrop>false</ScaleCrop>
  <LinksUpToDate>false</LinksUpToDate>
  <CharactersWithSpaces>17703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2019-09-10T06:31:00Z</dcterms:created>
  <dc:creator>史龙虎</dc:creator>
  <cp:lastModifiedBy>Administrator</cp:lastModifiedBy>
  <dcterms:modified xsi:type="dcterms:W3CDTF">2022-12-29T05:41:41Z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3B923EA9CFB64966ACDA77CD6FC3B284</vt:lpwstr>
  </property>
</Properties>
</file>