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rFonts w:hint="eastAsia"/>
          <w:b/>
          <w:sz w:val="28"/>
        </w:rPr>
        <w:t>修订条款内容对照表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0"/>
        <w:gridCol w:w="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gridSpan w:val="3"/>
          </w:tcPr>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《开源证券股份有限公司</w:t>
            </w:r>
            <w:r>
              <w:rPr>
                <w:rFonts w:hint="eastAsia" w:ascii="宋体" w:hAnsi="宋体" w:eastAsia="宋体" w:cs="宋体"/>
                <w:b/>
                <w:color w:val="000000" w:themeColor="text1"/>
                <w:sz w:val="24"/>
                <w:szCs w:val="24"/>
                <w:lang w:eastAsia="zh-CN"/>
                <w14:textFill>
                  <w14:solidFill>
                    <w14:schemeClr w14:val="tx1"/>
                  </w14:solidFill>
                </w14:textFill>
              </w:rPr>
              <w:t>融资融券业务合同</w:t>
            </w:r>
            <w:r>
              <w:rPr>
                <w:rFonts w:hint="eastAsia" w:ascii="宋体" w:hAnsi="宋体" w:eastAsia="宋体" w:cs="宋体"/>
                <w:b/>
                <w:color w:val="000000" w:themeColor="text1"/>
                <w:sz w:val="24"/>
                <w:szCs w:val="24"/>
                <w14:textFill>
                  <w14:solidFill>
                    <w14:schemeClr w14:val="tx1"/>
                  </w14:solidFill>
                </w14:textFill>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gridSpan w:val="2"/>
          </w:tcPr>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原条款</w:t>
            </w:r>
          </w:p>
        </w:tc>
        <w:tc>
          <w:tcPr>
            <w:tcW w:w="4148" w:type="dxa"/>
          </w:tcPr>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修订后条款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140" w:type="dxa"/>
          </w:tcPr>
          <w:p>
            <w:pPr>
              <w:tabs>
                <w:tab w:val="left" w:pos="0"/>
                <w:tab w:val="left" w:pos="1680"/>
              </w:tabs>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p>
          <w:p>
            <w:pPr>
              <w:tabs>
                <w:tab w:val="left" w:pos="0"/>
                <w:tab w:val="left" w:pos="180"/>
              </w:tabs>
              <w:spacing w:line="400" w:lineRule="exact"/>
              <w:ind w:right="25" w:rightChars="12" w:firstLine="482" w:firstLineChars="200"/>
              <w:outlineLvl w:val="0"/>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sz w:val="24"/>
                <w:szCs w:val="24"/>
              </w:rPr>
              <w:t>第二条 双方声明与保证</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tabs>
                <w:tab w:val="left" w:pos="0"/>
                <w:tab w:val="left" w:pos="180"/>
                <w:tab w:val="left" w:pos="600"/>
              </w:tabs>
              <w:spacing w:line="400" w:lineRule="exact"/>
              <w:ind w:right="25" w:rightChars="12" w:firstLine="489" w:firstLineChars="204"/>
              <w:rPr>
                <w:rFonts w:hint="eastAsia" w:ascii="宋体" w:hAnsi="宋体" w:eastAsia="宋体" w:cs="宋体"/>
                <w:sz w:val="24"/>
                <w:szCs w:val="24"/>
              </w:rPr>
            </w:pPr>
            <w:r>
              <w:rPr>
                <w:rFonts w:hint="eastAsia" w:ascii="宋体" w:hAnsi="宋体" w:eastAsia="宋体" w:cs="宋体"/>
                <w:sz w:val="24"/>
                <w:szCs w:val="24"/>
              </w:rPr>
              <w:t>15、当甲方为个人客户时，甲方向乙方保证其不将本人持有的上市公司在全国中小企业股份转让系统挂牌前取得的股票以及由上述股票孳生的送、转股的证券转入信用账户作为可充抵保证金。当甲方为机构客户时，该条保证不生效。</w:t>
            </w:r>
          </w:p>
          <w:p>
            <w:pPr>
              <w:spacing w:line="540" w:lineRule="exact"/>
              <w:ind w:firstLine="480" w:firstLineChars="200"/>
              <w:rPr>
                <w:rFonts w:hint="eastAsia" w:ascii="宋体" w:hAnsi="宋体" w:eastAsia="宋体" w:cs="宋体"/>
                <w:color w:val="000000"/>
                <w:sz w:val="24"/>
                <w:szCs w:val="24"/>
              </w:rPr>
            </w:pPr>
          </w:p>
        </w:tc>
        <w:tc>
          <w:tcPr>
            <w:tcW w:w="4156" w:type="dxa"/>
            <w:gridSpan w:val="2"/>
          </w:tcPr>
          <w:p>
            <w:pPr>
              <w:tabs>
                <w:tab w:val="left" w:pos="0"/>
                <w:tab w:val="left" w:pos="180"/>
              </w:tabs>
              <w:spacing w:line="400" w:lineRule="exact"/>
              <w:ind w:right="25" w:rightChars="12" w:firstLine="482" w:firstLineChars="200"/>
              <w:outlineLvl w:val="0"/>
              <w:rPr>
                <w:rFonts w:hint="eastAsia" w:ascii="宋体" w:hAnsi="宋体" w:eastAsia="宋体" w:cs="宋体"/>
                <w:b/>
                <w:sz w:val="24"/>
                <w:szCs w:val="24"/>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sz w:val="24"/>
                <w:szCs w:val="24"/>
              </w:rPr>
              <w:t>第二条 双方声明与保证</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tabs>
                <w:tab w:val="left" w:pos="0"/>
                <w:tab w:val="left" w:pos="180"/>
                <w:tab w:val="left" w:pos="600"/>
              </w:tabs>
              <w:spacing w:line="400" w:lineRule="exact"/>
              <w:ind w:right="25" w:rightChars="12" w:firstLine="489" w:firstLineChars="204"/>
              <w:rPr>
                <w:rFonts w:hint="eastAsia" w:ascii="宋体" w:hAnsi="宋体" w:eastAsia="宋体" w:cs="宋体"/>
                <w:sz w:val="24"/>
                <w:szCs w:val="24"/>
              </w:rPr>
            </w:pPr>
            <w:r>
              <w:rPr>
                <w:rFonts w:hint="eastAsia" w:ascii="宋体" w:hAnsi="宋体" w:eastAsia="宋体" w:cs="宋体"/>
                <w:sz w:val="24"/>
                <w:szCs w:val="24"/>
              </w:rPr>
              <w:t>15、当甲方为个人客户时，甲方向乙方保证其不将本人持有的上市公司在全国中小企业股份转让系统挂牌前取得的股票以及由上述股票孳生的送、转股的证券转入信用账户作为可充抵保证金。当甲方为机构客户时，该条保证不生效。</w:t>
            </w:r>
          </w:p>
          <w:p>
            <w:pPr>
              <w:tabs>
                <w:tab w:val="left" w:pos="0"/>
                <w:tab w:val="left" w:pos="180"/>
                <w:tab w:val="left" w:pos="600"/>
              </w:tabs>
              <w:spacing w:line="400" w:lineRule="exact"/>
              <w:ind w:right="25" w:rightChars="12" w:firstLine="492" w:firstLineChars="204"/>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16、当甲方为注册制下首次公开发行股票战略配售的投资者及其关联方时，甲方承诺在参与战略配售的承诺期内，不进行融券卖出该上市公司的股票，证券交易所另有规定的除外。</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spacing w:line="540" w:lineRule="exact"/>
              <w:ind w:firstLine="482" w:firstLineChars="200"/>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140" w:type="dxa"/>
          </w:tcPr>
          <w:p>
            <w:pPr>
              <w:tabs>
                <w:tab w:val="left" w:pos="0"/>
                <w:tab w:val="left" w:pos="180"/>
              </w:tabs>
              <w:spacing w:line="400" w:lineRule="exact"/>
              <w:ind w:right="25" w:rightChars="12"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rPr>
              <w:t>第七条 授信额度、融资融券期限、融资利息、融券费用、逾期违约金及佣金费率</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tabs>
                <w:tab w:val="left" w:pos="720"/>
              </w:tabs>
              <w:spacing w:line="400" w:lineRule="exact"/>
              <w:ind w:left="1" w:firstLine="482" w:firstLineChars="200"/>
              <w:rPr>
                <w:rFonts w:hint="eastAsia" w:ascii="宋体" w:hAnsi="宋体" w:eastAsia="宋体" w:cs="宋体"/>
                <w:b/>
                <w:sz w:val="24"/>
                <w:szCs w:val="24"/>
              </w:rPr>
            </w:pPr>
            <w:r>
              <w:rPr>
                <w:rFonts w:hint="eastAsia" w:ascii="宋体" w:hAnsi="宋体" w:eastAsia="宋体" w:cs="宋体"/>
                <w:b/>
                <w:sz w:val="24"/>
                <w:szCs w:val="24"/>
              </w:rPr>
              <w:t>5、甲方账户佣金费率标准为</w:t>
            </w:r>
            <w:r>
              <w:rPr>
                <w:rFonts w:hint="eastAsia" w:ascii="宋体" w:hAnsi="宋体" w:eastAsia="宋体" w:cs="宋体"/>
                <w:b/>
                <w:sz w:val="24"/>
                <w:szCs w:val="24"/>
                <w:u w:val="single"/>
              </w:rPr>
              <w:t xml:space="preserve">     </w:t>
            </w:r>
            <w:r>
              <w:rPr>
                <w:rFonts w:hint="eastAsia" w:ascii="宋体" w:hAnsi="宋体" w:eastAsia="宋体" w:cs="宋体"/>
                <w:b/>
                <w:sz w:val="24"/>
                <w:szCs w:val="24"/>
              </w:rPr>
              <w:t>，佣金费率可经甲方向乙方提出申请后进行调整。</w:t>
            </w:r>
          </w:p>
          <w:p>
            <w:pPr>
              <w:spacing w:line="540" w:lineRule="exact"/>
              <w:ind w:firstLine="480" w:firstLineChars="200"/>
              <w:rPr>
                <w:rFonts w:hint="eastAsia" w:ascii="宋体" w:hAnsi="宋体" w:eastAsia="宋体" w:cs="宋体"/>
                <w:color w:val="000000"/>
                <w:sz w:val="24"/>
                <w:szCs w:val="24"/>
              </w:rPr>
            </w:pPr>
          </w:p>
        </w:tc>
        <w:tc>
          <w:tcPr>
            <w:tcW w:w="4156" w:type="dxa"/>
            <w:gridSpan w:val="2"/>
          </w:tcPr>
          <w:p>
            <w:pPr>
              <w:tabs>
                <w:tab w:val="left" w:pos="0"/>
                <w:tab w:val="left" w:pos="180"/>
              </w:tabs>
              <w:spacing w:line="400" w:lineRule="exact"/>
              <w:ind w:right="25" w:rightChars="12"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rPr>
              <w:t>第七条 授信额度、融资融券期限、融资利息、融券费用、逾期违约金及佣金费率</w:t>
            </w:r>
          </w:p>
          <w:p>
            <w:pPr>
              <w:spacing w:line="5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tabs>
                <w:tab w:val="left" w:pos="720"/>
              </w:tabs>
              <w:spacing w:line="400" w:lineRule="exact"/>
              <w:ind w:left="1" w:firstLine="482" w:firstLineChars="200"/>
              <w:rPr>
                <w:rFonts w:hint="eastAsia" w:ascii="宋体" w:hAnsi="宋体" w:eastAsia="宋体" w:cs="宋体"/>
                <w:b/>
                <w:sz w:val="24"/>
                <w:szCs w:val="24"/>
              </w:rPr>
            </w:pPr>
            <w:r>
              <w:rPr>
                <w:rFonts w:hint="eastAsia" w:ascii="宋体" w:hAnsi="宋体" w:eastAsia="宋体" w:cs="宋体"/>
                <w:b/>
                <w:sz w:val="24"/>
                <w:szCs w:val="24"/>
              </w:rPr>
              <w:t>5、甲方</w:t>
            </w:r>
            <w:r>
              <w:rPr>
                <w:rFonts w:hint="eastAsia" w:ascii="宋体" w:hAnsi="宋体" w:eastAsia="宋体" w:cs="宋体"/>
                <w:b/>
                <w:sz w:val="24"/>
                <w:szCs w:val="24"/>
                <w:lang w:eastAsia="zh-CN"/>
              </w:rPr>
              <w:t>信用</w:t>
            </w:r>
            <w:r>
              <w:rPr>
                <w:rFonts w:hint="eastAsia" w:ascii="宋体" w:hAnsi="宋体" w:eastAsia="宋体" w:cs="宋体"/>
                <w:b/>
                <w:sz w:val="24"/>
                <w:szCs w:val="24"/>
              </w:rPr>
              <w:t>账户佣金</w:t>
            </w:r>
            <w:r>
              <w:rPr>
                <w:rFonts w:hint="eastAsia" w:ascii="宋体" w:hAnsi="宋体" w:eastAsia="宋体" w:cs="宋体"/>
                <w:b/>
                <w:sz w:val="24"/>
                <w:szCs w:val="24"/>
                <w:lang w:eastAsia="zh-CN"/>
              </w:rPr>
              <w:t>收取以乙方官网公式佣金标准为依据</w:t>
            </w:r>
            <w:r>
              <w:rPr>
                <w:rFonts w:hint="eastAsia" w:ascii="宋体" w:hAnsi="宋体" w:eastAsia="宋体" w:cs="宋体"/>
                <w:b/>
                <w:sz w:val="24"/>
                <w:szCs w:val="24"/>
              </w:rPr>
              <w:t>，佣金费率可经甲方向乙方提出申请后进行调整。</w:t>
            </w:r>
          </w:p>
          <w:p>
            <w:pPr>
              <w:spacing w:line="540" w:lineRule="exact"/>
              <w:ind w:firstLine="482" w:firstLineChars="200"/>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4140" w:type="dxa"/>
          </w:tcPr>
          <w:p>
            <w:pPr>
              <w:tabs>
                <w:tab w:val="left" w:pos="0"/>
                <w:tab w:val="left" w:pos="180"/>
              </w:tabs>
              <w:spacing w:line="400" w:lineRule="exact"/>
              <w:ind w:right="25" w:rightChars="12" w:firstLine="604" w:firstLineChars="252"/>
              <w:rPr>
                <w:rFonts w:hint="eastAsia" w:ascii="宋体" w:hAnsi="宋体" w:eastAsia="宋体" w:cs="宋体"/>
                <w:b w:val="0"/>
                <w:bCs/>
                <w:sz w:val="24"/>
                <w:szCs w:val="24"/>
              </w:rPr>
            </w:pPr>
            <w:r>
              <w:rPr>
                <w:rFonts w:hint="eastAsia" w:ascii="宋体" w:hAnsi="宋体" w:eastAsia="宋体" w:cs="宋体"/>
                <w:b w:val="0"/>
                <w:bCs/>
                <w:sz w:val="24"/>
                <w:szCs w:val="24"/>
              </w:rPr>
              <w:t>第十一条 债务清偿</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（一）甲方应当清偿债务的范围，包括但不限于：</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1.向乙方借入的资金和证券；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2．融资利息和融券费用、证券交易手续费及税费；</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3.违约金；</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4.乙方为追索债务而支付的律师费、诉讼费、差旅费、保险费等费用；</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5.其他因甲方融资融券交易产生的相关费用。</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（二）甲方可以按约定的期限偿还对乙方所负债务，也可以提前偿还对乙方所负债务。</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（三）甲方从事融资交易的，可以选择卖券还款或直接还款方式偿还所负债务；甲方卖出信用证券账户中融资买入尚未了结合约的证券所得价款，应当优先偿还甲方融资欠款。</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（四）甲方从事融券交易的，可以选择买券还券或直接还券方式偿还对乙方融入的证券。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未了结相关融券交易前，甲方融券卖出所的价款除以下用途外，不得另作他用：</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1、买券还券；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2、偿还融资融券相关利息、费用和融券交易相关权益现金补偿；</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3、买入或申购证券公司现金管理产品、货币市场基金以及本所认可的其他高流动性证券；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4、中国证监会及证券交易所规定的其他用途。</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（五）甲方在偿还乙方所负债务时，按照融资融券合约“先到期先偿还”的原则逐笔偿还。</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（六）甲方在债务清偿完毕后方可向乙方申请注销信用账户。</w:t>
            </w:r>
          </w:p>
          <w:p>
            <w:pPr>
              <w:spacing w:line="540" w:lineRule="exact"/>
              <w:ind w:firstLine="480" w:firstLineChars="200"/>
              <w:rPr>
                <w:rFonts w:hint="eastAsia" w:ascii="宋体" w:hAnsi="宋体" w:eastAsia="宋体" w:cs="宋体"/>
                <w:b w:val="0"/>
                <w:bCs/>
                <w:color w:val="000000"/>
                <w:sz w:val="24"/>
                <w:szCs w:val="24"/>
              </w:rPr>
            </w:pPr>
          </w:p>
        </w:tc>
        <w:tc>
          <w:tcPr>
            <w:tcW w:w="4156" w:type="dxa"/>
            <w:gridSpan w:val="2"/>
          </w:tcPr>
          <w:p>
            <w:pPr>
              <w:tabs>
                <w:tab w:val="left" w:pos="0"/>
                <w:tab w:val="left" w:pos="180"/>
              </w:tabs>
              <w:spacing w:line="400" w:lineRule="exact"/>
              <w:ind w:right="25" w:rightChars="12" w:firstLine="604" w:firstLineChars="252"/>
              <w:rPr>
                <w:rFonts w:hint="eastAsia" w:ascii="宋体" w:hAnsi="宋体" w:eastAsia="宋体" w:cs="宋体"/>
                <w:b w:val="0"/>
                <w:bCs/>
                <w:sz w:val="24"/>
                <w:szCs w:val="24"/>
              </w:rPr>
            </w:pPr>
            <w:r>
              <w:rPr>
                <w:rFonts w:hint="eastAsia" w:ascii="宋体" w:hAnsi="宋体" w:eastAsia="宋体" w:cs="宋体"/>
                <w:b w:val="0"/>
                <w:bCs/>
                <w:sz w:val="24"/>
                <w:szCs w:val="24"/>
              </w:rPr>
              <w:t>第十一条 债务清偿</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（一）甲方应当清偿债务的范围，包括但不限于：</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1.向乙方借入的资金和证券；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2．融资利息和融券费用、证券交易手续费及税费；</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3.违约金；</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4.乙方为追索债务而支付的律师费、诉讼费、差旅费、保险费等费用；</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5.其他因甲方融资融券交易产生的相关费用。</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（二）甲方可以按约定的期限偿还对乙方所负债务，也可以提前偿还对乙方所负债务。</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（三）甲方从事融资交易的，可以选择卖券还款或直接还款方式偿还所负债务；甲方卖出信用证券账户中融资买入尚未了结合约的证券所得价款，应当优先偿还甲方融资欠款。</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（四）甲方从事融券交易的，可以选择买券还券或直接还券方式偿还对乙方融入的证券。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未了结相关融券交易前，甲方融券卖出所的价款除以下用途外，不得另作他用：</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1、买券还券；</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2、偿还融资融券相关利息、费用和融券交易相关权益现金补偿；</w:t>
            </w:r>
          </w:p>
          <w:p>
            <w:pPr>
              <w:tabs>
                <w:tab w:val="left" w:pos="0"/>
                <w:tab w:val="left" w:pos="180"/>
                <w:tab w:val="left" w:pos="600"/>
              </w:tabs>
              <w:spacing w:line="400" w:lineRule="exact"/>
              <w:ind w:right="25" w:rightChars="12" w:firstLine="492" w:firstLineChars="204"/>
              <w:rPr>
                <w:rFonts w:hint="eastAsia" w:ascii="宋体" w:hAnsi="宋体" w:eastAsia="宋体" w:cs="宋体"/>
                <w:b/>
                <w:bCs w:val="0"/>
                <w:sz w:val="24"/>
                <w:szCs w:val="24"/>
              </w:rPr>
            </w:pPr>
            <w:r>
              <w:rPr>
                <w:rFonts w:hint="eastAsia" w:ascii="宋体" w:hAnsi="宋体" w:eastAsia="宋体" w:cs="宋体"/>
                <w:b/>
                <w:bCs w:val="0"/>
                <w:sz w:val="24"/>
                <w:szCs w:val="24"/>
              </w:rPr>
              <w:t>3、买入或申购证券公司现金管理产品、货币市场基金</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以及</w:t>
            </w:r>
            <w:r>
              <w:rPr>
                <w:rFonts w:hint="eastAsia" w:ascii="宋体" w:hAnsi="宋体" w:eastAsia="宋体" w:cs="宋体"/>
                <w:b/>
                <w:bCs w:val="0"/>
                <w:sz w:val="24"/>
                <w:szCs w:val="24"/>
                <w:lang w:eastAsia="zh-CN"/>
              </w:rPr>
              <w:t>买入在证券交易所上市的债券交易型开放式指数基金（跟踪指数成分债券含可转换公司债券的除外）、证券交易所</w:t>
            </w:r>
            <w:r>
              <w:rPr>
                <w:rFonts w:hint="eastAsia" w:ascii="宋体" w:hAnsi="宋体" w:eastAsia="宋体" w:cs="宋体"/>
                <w:b/>
                <w:bCs w:val="0"/>
                <w:sz w:val="24"/>
                <w:szCs w:val="24"/>
              </w:rPr>
              <w:t>所认可的其他高流动性证券</w:t>
            </w:r>
            <w:r>
              <w:rPr>
                <w:rFonts w:hint="eastAsia" w:ascii="宋体" w:hAnsi="宋体" w:eastAsia="宋体" w:cs="宋体"/>
                <w:b/>
                <w:bCs w:val="0"/>
                <w:sz w:val="24"/>
                <w:szCs w:val="24"/>
                <w:lang w:eastAsia="zh-CN"/>
              </w:rPr>
              <w:t>。乙方可以根据市场情况调整客户可买入或申购前述资产的名单</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4、中国证监会及证券交易所规定的其他用途。</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（五）甲方在偿还乙方所负债务时，按照融资融券合约“先到期先偿还”的原则逐笔偿还。</w:t>
            </w:r>
          </w:p>
          <w:p>
            <w:pPr>
              <w:tabs>
                <w:tab w:val="left" w:pos="0"/>
                <w:tab w:val="left" w:pos="180"/>
                <w:tab w:val="left" w:pos="600"/>
              </w:tabs>
              <w:spacing w:line="400" w:lineRule="exact"/>
              <w:ind w:right="25" w:rightChars="12" w:firstLine="489" w:firstLineChars="204"/>
              <w:rPr>
                <w:rFonts w:hint="eastAsia" w:ascii="宋体" w:hAnsi="宋体" w:eastAsia="宋体" w:cs="宋体"/>
                <w:b w:val="0"/>
                <w:bCs/>
                <w:sz w:val="24"/>
                <w:szCs w:val="24"/>
              </w:rPr>
            </w:pPr>
            <w:r>
              <w:rPr>
                <w:rFonts w:hint="eastAsia" w:ascii="宋体" w:hAnsi="宋体" w:eastAsia="宋体" w:cs="宋体"/>
                <w:b w:val="0"/>
                <w:bCs/>
                <w:sz w:val="24"/>
                <w:szCs w:val="24"/>
              </w:rPr>
              <w:t>（六）甲方在债务清偿完毕后方可向乙方申请注销信用账户。</w:t>
            </w:r>
          </w:p>
          <w:p>
            <w:pPr>
              <w:spacing w:line="540" w:lineRule="exact"/>
              <w:ind w:firstLine="480" w:firstLineChars="200"/>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296" w:type="dxa"/>
            <w:gridSpan w:val="3"/>
          </w:tcPr>
          <w:p>
            <w:pPr>
              <w:spacing w:line="540" w:lineRule="exact"/>
              <w:ind w:firstLine="482" w:firstLineChars="200"/>
              <w:rPr>
                <w:rFonts w:hint="eastAsia" w:ascii="宋体" w:hAnsi="宋体" w:eastAsia="宋体" w:cs="宋体"/>
                <w:b/>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TBjZDY0ZDUxYTYxYzU1NTI0YzgzNmUxYmYyNzIifQ=="/>
  </w:docVars>
  <w:rsids>
    <w:rsidRoot w:val="008B4509"/>
    <w:rsid w:val="00000573"/>
    <w:rsid w:val="00003A48"/>
    <w:rsid w:val="00003CEA"/>
    <w:rsid w:val="000054E3"/>
    <w:rsid w:val="00010868"/>
    <w:rsid w:val="00015C92"/>
    <w:rsid w:val="00015DA9"/>
    <w:rsid w:val="0001751E"/>
    <w:rsid w:val="00022A02"/>
    <w:rsid w:val="00024C71"/>
    <w:rsid w:val="000251A5"/>
    <w:rsid w:val="00030904"/>
    <w:rsid w:val="00032703"/>
    <w:rsid w:val="00033670"/>
    <w:rsid w:val="00035AD1"/>
    <w:rsid w:val="00036A4C"/>
    <w:rsid w:val="0004246C"/>
    <w:rsid w:val="0004556E"/>
    <w:rsid w:val="00057EF7"/>
    <w:rsid w:val="0006020A"/>
    <w:rsid w:val="00067975"/>
    <w:rsid w:val="000738EA"/>
    <w:rsid w:val="000767A2"/>
    <w:rsid w:val="00085737"/>
    <w:rsid w:val="00094C65"/>
    <w:rsid w:val="000A00B8"/>
    <w:rsid w:val="000B32D1"/>
    <w:rsid w:val="000C167A"/>
    <w:rsid w:val="000C1BA3"/>
    <w:rsid w:val="000C40B1"/>
    <w:rsid w:val="000D0035"/>
    <w:rsid w:val="000D3494"/>
    <w:rsid w:val="000E505B"/>
    <w:rsid w:val="000E5997"/>
    <w:rsid w:val="000E7093"/>
    <w:rsid w:val="000F2F1B"/>
    <w:rsid w:val="000F48EC"/>
    <w:rsid w:val="00101E9C"/>
    <w:rsid w:val="001031A1"/>
    <w:rsid w:val="0011309A"/>
    <w:rsid w:val="00131E5C"/>
    <w:rsid w:val="001341CF"/>
    <w:rsid w:val="00136BFB"/>
    <w:rsid w:val="001416CE"/>
    <w:rsid w:val="00142890"/>
    <w:rsid w:val="00143013"/>
    <w:rsid w:val="001431D3"/>
    <w:rsid w:val="001439A7"/>
    <w:rsid w:val="00153FBD"/>
    <w:rsid w:val="001635CC"/>
    <w:rsid w:val="00164017"/>
    <w:rsid w:val="00170FCF"/>
    <w:rsid w:val="00171799"/>
    <w:rsid w:val="00181CC1"/>
    <w:rsid w:val="001844AF"/>
    <w:rsid w:val="00184F74"/>
    <w:rsid w:val="00191B6D"/>
    <w:rsid w:val="001A5DDF"/>
    <w:rsid w:val="001A7E2F"/>
    <w:rsid w:val="001B1A25"/>
    <w:rsid w:val="001B4A28"/>
    <w:rsid w:val="001C393E"/>
    <w:rsid w:val="001C4797"/>
    <w:rsid w:val="001D0488"/>
    <w:rsid w:val="001D1536"/>
    <w:rsid w:val="001D23B7"/>
    <w:rsid w:val="001D30B2"/>
    <w:rsid w:val="001D342D"/>
    <w:rsid w:val="001D38D8"/>
    <w:rsid w:val="001D4E73"/>
    <w:rsid w:val="001D74B9"/>
    <w:rsid w:val="001E01A1"/>
    <w:rsid w:val="001E2F03"/>
    <w:rsid w:val="001E50DB"/>
    <w:rsid w:val="001F0461"/>
    <w:rsid w:val="001F1D3D"/>
    <w:rsid w:val="001F5087"/>
    <w:rsid w:val="001F53BE"/>
    <w:rsid w:val="001F598A"/>
    <w:rsid w:val="001F727C"/>
    <w:rsid w:val="0021447A"/>
    <w:rsid w:val="00215169"/>
    <w:rsid w:val="00216A48"/>
    <w:rsid w:val="00222087"/>
    <w:rsid w:val="002264CF"/>
    <w:rsid w:val="00230867"/>
    <w:rsid w:val="00231266"/>
    <w:rsid w:val="002315DE"/>
    <w:rsid w:val="00232669"/>
    <w:rsid w:val="0023338C"/>
    <w:rsid w:val="00240A52"/>
    <w:rsid w:val="00241CD2"/>
    <w:rsid w:val="00244574"/>
    <w:rsid w:val="00246F32"/>
    <w:rsid w:val="0025112C"/>
    <w:rsid w:val="00252D31"/>
    <w:rsid w:val="00253EC5"/>
    <w:rsid w:val="0025418F"/>
    <w:rsid w:val="00260510"/>
    <w:rsid w:val="002613B8"/>
    <w:rsid w:val="00263C4B"/>
    <w:rsid w:val="00264FF0"/>
    <w:rsid w:val="00265A19"/>
    <w:rsid w:val="00266D1E"/>
    <w:rsid w:val="00267278"/>
    <w:rsid w:val="00273993"/>
    <w:rsid w:val="00277806"/>
    <w:rsid w:val="00280C18"/>
    <w:rsid w:val="00281068"/>
    <w:rsid w:val="002A0C54"/>
    <w:rsid w:val="002A19D9"/>
    <w:rsid w:val="002A3161"/>
    <w:rsid w:val="002A5255"/>
    <w:rsid w:val="002B00FB"/>
    <w:rsid w:val="002B056E"/>
    <w:rsid w:val="002B0E9D"/>
    <w:rsid w:val="002B3CF1"/>
    <w:rsid w:val="002B62EE"/>
    <w:rsid w:val="002B69E1"/>
    <w:rsid w:val="002B71E5"/>
    <w:rsid w:val="002B72EC"/>
    <w:rsid w:val="002B74CD"/>
    <w:rsid w:val="002C0229"/>
    <w:rsid w:val="002C3886"/>
    <w:rsid w:val="002D550B"/>
    <w:rsid w:val="002D6B87"/>
    <w:rsid w:val="002E2CC1"/>
    <w:rsid w:val="002E51C9"/>
    <w:rsid w:val="002E6413"/>
    <w:rsid w:val="002E796F"/>
    <w:rsid w:val="002F53A1"/>
    <w:rsid w:val="002F66D5"/>
    <w:rsid w:val="002F6DD1"/>
    <w:rsid w:val="00301E4E"/>
    <w:rsid w:val="00303A69"/>
    <w:rsid w:val="00306A36"/>
    <w:rsid w:val="0031432E"/>
    <w:rsid w:val="003173FF"/>
    <w:rsid w:val="00322260"/>
    <w:rsid w:val="0033183C"/>
    <w:rsid w:val="00333AF8"/>
    <w:rsid w:val="00333FD3"/>
    <w:rsid w:val="0033418E"/>
    <w:rsid w:val="00335558"/>
    <w:rsid w:val="0033697A"/>
    <w:rsid w:val="00340014"/>
    <w:rsid w:val="00343C7C"/>
    <w:rsid w:val="00346EA2"/>
    <w:rsid w:val="00350E2F"/>
    <w:rsid w:val="0035165F"/>
    <w:rsid w:val="003526E0"/>
    <w:rsid w:val="003532E9"/>
    <w:rsid w:val="003542FB"/>
    <w:rsid w:val="003602B3"/>
    <w:rsid w:val="00360BE2"/>
    <w:rsid w:val="00361A6C"/>
    <w:rsid w:val="00361DDF"/>
    <w:rsid w:val="00364435"/>
    <w:rsid w:val="003676E4"/>
    <w:rsid w:val="00371814"/>
    <w:rsid w:val="0037185D"/>
    <w:rsid w:val="00371868"/>
    <w:rsid w:val="00381DD8"/>
    <w:rsid w:val="003844BD"/>
    <w:rsid w:val="00385021"/>
    <w:rsid w:val="003915AF"/>
    <w:rsid w:val="0039232E"/>
    <w:rsid w:val="00392717"/>
    <w:rsid w:val="00393343"/>
    <w:rsid w:val="00396BFE"/>
    <w:rsid w:val="00396D2A"/>
    <w:rsid w:val="003A0B5B"/>
    <w:rsid w:val="003A1108"/>
    <w:rsid w:val="003A39C2"/>
    <w:rsid w:val="003A3FE9"/>
    <w:rsid w:val="003A5D3B"/>
    <w:rsid w:val="003B3314"/>
    <w:rsid w:val="003C0A0E"/>
    <w:rsid w:val="003C3700"/>
    <w:rsid w:val="003C45E7"/>
    <w:rsid w:val="003C4FC7"/>
    <w:rsid w:val="003C5135"/>
    <w:rsid w:val="003D1777"/>
    <w:rsid w:val="003D6C06"/>
    <w:rsid w:val="003D72CB"/>
    <w:rsid w:val="003E0C49"/>
    <w:rsid w:val="003F1376"/>
    <w:rsid w:val="00402DD5"/>
    <w:rsid w:val="00403C15"/>
    <w:rsid w:val="00405149"/>
    <w:rsid w:val="00410071"/>
    <w:rsid w:val="0041617E"/>
    <w:rsid w:val="004164A7"/>
    <w:rsid w:val="00417072"/>
    <w:rsid w:val="0041771E"/>
    <w:rsid w:val="004226D7"/>
    <w:rsid w:val="0043363C"/>
    <w:rsid w:val="004347D4"/>
    <w:rsid w:val="00434953"/>
    <w:rsid w:val="004366BB"/>
    <w:rsid w:val="004374CB"/>
    <w:rsid w:val="004402B3"/>
    <w:rsid w:val="0044044B"/>
    <w:rsid w:val="00440ED7"/>
    <w:rsid w:val="00441F74"/>
    <w:rsid w:val="0044265F"/>
    <w:rsid w:val="00442ABE"/>
    <w:rsid w:val="0047005B"/>
    <w:rsid w:val="00471B5C"/>
    <w:rsid w:val="00474916"/>
    <w:rsid w:val="00481546"/>
    <w:rsid w:val="0048555E"/>
    <w:rsid w:val="004864F3"/>
    <w:rsid w:val="00486A5A"/>
    <w:rsid w:val="004878BA"/>
    <w:rsid w:val="00487AB9"/>
    <w:rsid w:val="00490139"/>
    <w:rsid w:val="004918D7"/>
    <w:rsid w:val="0049353D"/>
    <w:rsid w:val="00496996"/>
    <w:rsid w:val="004A02FA"/>
    <w:rsid w:val="004A3D64"/>
    <w:rsid w:val="004B2FD5"/>
    <w:rsid w:val="004B438A"/>
    <w:rsid w:val="004B5FA7"/>
    <w:rsid w:val="004B62B5"/>
    <w:rsid w:val="004B68C7"/>
    <w:rsid w:val="004C1FDF"/>
    <w:rsid w:val="004C33DC"/>
    <w:rsid w:val="004C47EF"/>
    <w:rsid w:val="004C756C"/>
    <w:rsid w:val="004D228C"/>
    <w:rsid w:val="004D28C1"/>
    <w:rsid w:val="004D6467"/>
    <w:rsid w:val="004E1D1D"/>
    <w:rsid w:val="004E724C"/>
    <w:rsid w:val="004E7C70"/>
    <w:rsid w:val="004F0CF4"/>
    <w:rsid w:val="004F18CF"/>
    <w:rsid w:val="004F19CB"/>
    <w:rsid w:val="004F1BF9"/>
    <w:rsid w:val="004F27B9"/>
    <w:rsid w:val="004F3473"/>
    <w:rsid w:val="004F399F"/>
    <w:rsid w:val="004F4737"/>
    <w:rsid w:val="004F6008"/>
    <w:rsid w:val="004F66C2"/>
    <w:rsid w:val="00501418"/>
    <w:rsid w:val="00504EAB"/>
    <w:rsid w:val="00504F43"/>
    <w:rsid w:val="00514429"/>
    <w:rsid w:val="0052038D"/>
    <w:rsid w:val="00522CC9"/>
    <w:rsid w:val="00532E07"/>
    <w:rsid w:val="00536DD2"/>
    <w:rsid w:val="0055010A"/>
    <w:rsid w:val="00553773"/>
    <w:rsid w:val="005567C1"/>
    <w:rsid w:val="0055796F"/>
    <w:rsid w:val="00562FE8"/>
    <w:rsid w:val="0056629C"/>
    <w:rsid w:val="005704E4"/>
    <w:rsid w:val="0057115B"/>
    <w:rsid w:val="00571521"/>
    <w:rsid w:val="00573554"/>
    <w:rsid w:val="005753E1"/>
    <w:rsid w:val="00585368"/>
    <w:rsid w:val="00585E91"/>
    <w:rsid w:val="00595AA3"/>
    <w:rsid w:val="00596841"/>
    <w:rsid w:val="005A6CDC"/>
    <w:rsid w:val="005A7282"/>
    <w:rsid w:val="005B260D"/>
    <w:rsid w:val="005B5431"/>
    <w:rsid w:val="005B7EDF"/>
    <w:rsid w:val="005C4A59"/>
    <w:rsid w:val="005D5DA5"/>
    <w:rsid w:val="005D6EF0"/>
    <w:rsid w:val="005E106F"/>
    <w:rsid w:val="005E4984"/>
    <w:rsid w:val="005F22AE"/>
    <w:rsid w:val="005F2F8A"/>
    <w:rsid w:val="005F3C70"/>
    <w:rsid w:val="005F4429"/>
    <w:rsid w:val="005F60C2"/>
    <w:rsid w:val="005F6492"/>
    <w:rsid w:val="005F6811"/>
    <w:rsid w:val="006036B7"/>
    <w:rsid w:val="00607114"/>
    <w:rsid w:val="006134A7"/>
    <w:rsid w:val="006207FD"/>
    <w:rsid w:val="00622021"/>
    <w:rsid w:val="006256D2"/>
    <w:rsid w:val="00630663"/>
    <w:rsid w:val="0063083B"/>
    <w:rsid w:val="00631EDB"/>
    <w:rsid w:val="00634FDB"/>
    <w:rsid w:val="00635D6F"/>
    <w:rsid w:val="00642AA1"/>
    <w:rsid w:val="006501ED"/>
    <w:rsid w:val="00650425"/>
    <w:rsid w:val="006511F5"/>
    <w:rsid w:val="00652B50"/>
    <w:rsid w:val="00655A82"/>
    <w:rsid w:val="00655E14"/>
    <w:rsid w:val="006570D7"/>
    <w:rsid w:val="00657DC4"/>
    <w:rsid w:val="00662010"/>
    <w:rsid w:val="0066324F"/>
    <w:rsid w:val="00666577"/>
    <w:rsid w:val="00671675"/>
    <w:rsid w:val="00673D6A"/>
    <w:rsid w:val="006755E9"/>
    <w:rsid w:val="0067629B"/>
    <w:rsid w:val="00676A43"/>
    <w:rsid w:val="00680198"/>
    <w:rsid w:val="006826FA"/>
    <w:rsid w:val="00682F85"/>
    <w:rsid w:val="006852D6"/>
    <w:rsid w:val="006908F5"/>
    <w:rsid w:val="00691C0A"/>
    <w:rsid w:val="00693D76"/>
    <w:rsid w:val="00694848"/>
    <w:rsid w:val="0069706A"/>
    <w:rsid w:val="006A06CB"/>
    <w:rsid w:val="006A1292"/>
    <w:rsid w:val="006A6FDB"/>
    <w:rsid w:val="006B0353"/>
    <w:rsid w:val="006B743B"/>
    <w:rsid w:val="006C0DF3"/>
    <w:rsid w:val="006C6039"/>
    <w:rsid w:val="006D2FF4"/>
    <w:rsid w:val="006D41B7"/>
    <w:rsid w:val="006D7FFA"/>
    <w:rsid w:val="006E046F"/>
    <w:rsid w:val="006F297F"/>
    <w:rsid w:val="006F2FEE"/>
    <w:rsid w:val="006F3DDC"/>
    <w:rsid w:val="006F4368"/>
    <w:rsid w:val="006F7CE9"/>
    <w:rsid w:val="00700CC4"/>
    <w:rsid w:val="007038F7"/>
    <w:rsid w:val="00704105"/>
    <w:rsid w:val="007055FE"/>
    <w:rsid w:val="007068AE"/>
    <w:rsid w:val="007117B1"/>
    <w:rsid w:val="00713262"/>
    <w:rsid w:val="007177C7"/>
    <w:rsid w:val="00717BA3"/>
    <w:rsid w:val="00723219"/>
    <w:rsid w:val="00725DD7"/>
    <w:rsid w:val="00727D65"/>
    <w:rsid w:val="007301CD"/>
    <w:rsid w:val="007319F5"/>
    <w:rsid w:val="00732E3E"/>
    <w:rsid w:val="00741256"/>
    <w:rsid w:val="00744185"/>
    <w:rsid w:val="007459A1"/>
    <w:rsid w:val="00752329"/>
    <w:rsid w:val="0075248E"/>
    <w:rsid w:val="0075329E"/>
    <w:rsid w:val="00761EC4"/>
    <w:rsid w:val="00776DC5"/>
    <w:rsid w:val="00776EA8"/>
    <w:rsid w:val="00777927"/>
    <w:rsid w:val="007802FA"/>
    <w:rsid w:val="00782A73"/>
    <w:rsid w:val="00784B47"/>
    <w:rsid w:val="007929D6"/>
    <w:rsid w:val="00792AD9"/>
    <w:rsid w:val="00792F69"/>
    <w:rsid w:val="007935CB"/>
    <w:rsid w:val="007A00AE"/>
    <w:rsid w:val="007A7216"/>
    <w:rsid w:val="007B2667"/>
    <w:rsid w:val="007B41E6"/>
    <w:rsid w:val="007B717E"/>
    <w:rsid w:val="007C00DA"/>
    <w:rsid w:val="007C10F3"/>
    <w:rsid w:val="007C162F"/>
    <w:rsid w:val="007D00D8"/>
    <w:rsid w:val="007D1FF7"/>
    <w:rsid w:val="007D3A71"/>
    <w:rsid w:val="007D3B51"/>
    <w:rsid w:val="007D7B48"/>
    <w:rsid w:val="007E353A"/>
    <w:rsid w:val="007E3816"/>
    <w:rsid w:val="007E3EB4"/>
    <w:rsid w:val="007E6014"/>
    <w:rsid w:val="007E64C2"/>
    <w:rsid w:val="007F3A70"/>
    <w:rsid w:val="00800A2F"/>
    <w:rsid w:val="00800F22"/>
    <w:rsid w:val="0080453E"/>
    <w:rsid w:val="00804EEB"/>
    <w:rsid w:val="008053EE"/>
    <w:rsid w:val="00807357"/>
    <w:rsid w:val="0081271C"/>
    <w:rsid w:val="00813305"/>
    <w:rsid w:val="00813EB7"/>
    <w:rsid w:val="00820596"/>
    <w:rsid w:val="00826AAA"/>
    <w:rsid w:val="00826F19"/>
    <w:rsid w:val="00827CC3"/>
    <w:rsid w:val="00831E72"/>
    <w:rsid w:val="00832665"/>
    <w:rsid w:val="00834587"/>
    <w:rsid w:val="00836E47"/>
    <w:rsid w:val="00837E82"/>
    <w:rsid w:val="008409BA"/>
    <w:rsid w:val="00840C4A"/>
    <w:rsid w:val="00844F2B"/>
    <w:rsid w:val="00846890"/>
    <w:rsid w:val="00850261"/>
    <w:rsid w:val="00851275"/>
    <w:rsid w:val="008542A1"/>
    <w:rsid w:val="00854753"/>
    <w:rsid w:val="00860607"/>
    <w:rsid w:val="00860970"/>
    <w:rsid w:val="00876566"/>
    <w:rsid w:val="00881740"/>
    <w:rsid w:val="00882279"/>
    <w:rsid w:val="00882E05"/>
    <w:rsid w:val="00885E71"/>
    <w:rsid w:val="00892B31"/>
    <w:rsid w:val="0089324E"/>
    <w:rsid w:val="0089554E"/>
    <w:rsid w:val="008A3E7C"/>
    <w:rsid w:val="008B4509"/>
    <w:rsid w:val="008C004C"/>
    <w:rsid w:val="008C0839"/>
    <w:rsid w:val="008C157C"/>
    <w:rsid w:val="008C7CC5"/>
    <w:rsid w:val="008D33E1"/>
    <w:rsid w:val="008D6F0F"/>
    <w:rsid w:val="008E2246"/>
    <w:rsid w:val="008E455E"/>
    <w:rsid w:val="008F0D53"/>
    <w:rsid w:val="008F449A"/>
    <w:rsid w:val="00906963"/>
    <w:rsid w:val="009232C6"/>
    <w:rsid w:val="00923F8D"/>
    <w:rsid w:val="0092725E"/>
    <w:rsid w:val="00942FB5"/>
    <w:rsid w:val="009456DC"/>
    <w:rsid w:val="00947EF5"/>
    <w:rsid w:val="009500F2"/>
    <w:rsid w:val="00955B11"/>
    <w:rsid w:val="00967CEF"/>
    <w:rsid w:val="00971470"/>
    <w:rsid w:val="00971AFF"/>
    <w:rsid w:val="00973F40"/>
    <w:rsid w:val="00974873"/>
    <w:rsid w:val="00976CD7"/>
    <w:rsid w:val="009813BE"/>
    <w:rsid w:val="00981DB6"/>
    <w:rsid w:val="00982938"/>
    <w:rsid w:val="00987E58"/>
    <w:rsid w:val="00991412"/>
    <w:rsid w:val="009923BD"/>
    <w:rsid w:val="00993BBF"/>
    <w:rsid w:val="00994393"/>
    <w:rsid w:val="00995098"/>
    <w:rsid w:val="009A4068"/>
    <w:rsid w:val="009A4A6F"/>
    <w:rsid w:val="009A7C43"/>
    <w:rsid w:val="009B103F"/>
    <w:rsid w:val="009B319D"/>
    <w:rsid w:val="009B3300"/>
    <w:rsid w:val="009B4A57"/>
    <w:rsid w:val="009C0C33"/>
    <w:rsid w:val="009C1BBC"/>
    <w:rsid w:val="009C3789"/>
    <w:rsid w:val="009C79B1"/>
    <w:rsid w:val="009D007A"/>
    <w:rsid w:val="009D13F0"/>
    <w:rsid w:val="009D3424"/>
    <w:rsid w:val="009E3B47"/>
    <w:rsid w:val="009E3B72"/>
    <w:rsid w:val="009E405E"/>
    <w:rsid w:val="009E5424"/>
    <w:rsid w:val="009E5814"/>
    <w:rsid w:val="009E5F68"/>
    <w:rsid w:val="009E7749"/>
    <w:rsid w:val="009F3D0D"/>
    <w:rsid w:val="009F7B66"/>
    <w:rsid w:val="00A10C2E"/>
    <w:rsid w:val="00A1371A"/>
    <w:rsid w:val="00A322E2"/>
    <w:rsid w:val="00A338AE"/>
    <w:rsid w:val="00A35AE7"/>
    <w:rsid w:val="00A37F0D"/>
    <w:rsid w:val="00A411C6"/>
    <w:rsid w:val="00A42FD9"/>
    <w:rsid w:val="00A443B2"/>
    <w:rsid w:val="00A44D45"/>
    <w:rsid w:val="00A46AE2"/>
    <w:rsid w:val="00A47C63"/>
    <w:rsid w:val="00A52EB2"/>
    <w:rsid w:val="00A54B70"/>
    <w:rsid w:val="00A608EC"/>
    <w:rsid w:val="00A616C8"/>
    <w:rsid w:val="00A62C33"/>
    <w:rsid w:val="00A64126"/>
    <w:rsid w:val="00A65996"/>
    <w:rsid w:val="00A668FD"/>
    <w:rsid w:val="00A806F3"/>
    <w:rsid w:val="00A80CC2"/>
    <w:rsid w:val="00A839BB"/>
    <w:rsid w:val="00A85CE4"/>
    <w:rsid w:val="00A867AA"/>
    <w:rsid w:val="00A8740B"/>
    <w:rsid w:val="00A92A8C"/>
    <w:rsid w:val="00A93FD6"/>
    <w:rsid w:val="00A95A66"/>
    <w:rsid w:val="00A96C1F"/>
    <w:rsid w:val="00AA07A2"/>
    <w:rsid w:val="00AA2D0D"/>
    <w:rsid w:val="00AA5E96"/>
    <w:rsid w:val="00AA61F0"/>
    <w:rsid w:val="00AB2CBD"/>
    <w:rsid w:val="00AB4717"/>
    <w:rsid w:val="00AB7C66"/>
    <w:rsid w:val="00AC0D3A"/>
    <w:rsid w:val="00AC186B"/>
    <w:rsid w:val="00AC245F"/>
    <w:rsid w:val="00AC514B"/>
    <w:rsid w:val="00AC7A30"/>
    <w:rsid w:val="00AD4A88"/>
    <w:rsid w:val="00AD6F85"/>
    <w:rsid w:val="00AE4CA5"/>
    <w:rsid w:val="00AE6D40"/>
    <w:rsid w:val="00AF1ABF"/>
    <w:rsid w:val="00AF20A8"/>
    <w:rsid w:val="00AF3FD2"/>
    <w:rsid w:val="00AF69EE"/>
    <w:rsid w:val="00B00619"/>
    <w:rsid w:val="00B035BB"/>
    <w:rsid w:val="00B046F6"/>
    <w:rsid w:val="00B059F9"/>
    <w:rsid w:val="00B15A17"/>
    <w:rsid w:val="00B166EA"/>
    <w:rsid w:val="00B27CDF"/>
    <w:rsid w:val="00B3020A"/>
    <w:rsid w:val="00B3562C"/>
    <w:rsid w:val="00B3768B"/>
    <w:rsid w:val="00B453AB"/>
    <w:rsid w:val="00B520F9"/>
    <w:rsid w:val="00B52BD6"/>
    <w:rsid w:val="00B54CA2"/>
    <w:rsid w:val="00B61AF7"/>
    <w:rsid w:val="00B63579"/>
    <w:rsid w:val="00B635E2"/>
    <w:rsid w:val="00B653C3"/>
    <w:rsid w:val="00B65F17"/>
    <w:rsid w:val="00B756E6"/>
    <w:rsid w:val="00B83D5E"/>
    <w:rsid w:val="00B851A7"/>
    <w:rsid w:val="00B85E4D"/>
    <w:rsid w:val="00B86070"/>
    <w:rsid w:val="00B86CC4"/>
    <w:rsid w:val="00B86D9B"/>
    <w:rsid w:val="00B87C49"/>
    <w:rsid w:val="00B91DE8"/>
    <w:rsid w:val="00B96E6D"/>
    <w:rsid w:val="00BA6448"/>
    <w:rsid w:val="00BA7E07"/>
    <w:rsid w:val="00BB2EB0"/>
    <w:rsid w:val="00BB3A96"/>
    <w:rsid w:val="00BB73C7"/>
    <w:rsid w:val="00BC0470"/>
    <w:rsid w:val="00BC64DB"/>
    <w:rsid w:val="00BD0D37"/>
    <w:rsid w:val="00BD0F81"/>
    <w:rsid w:val="00BD2B22"/>
    <w:rsid w:val="00BD3704"/>
    <w:rsid w:val="00BD4E5A"/>
    <w:rsid w:val="00BD5BA9"/>
    <w:rsid w:val="00BE2A9B"/>
    <w:rsid w:val="00BF02D5"/>
    <w:rsid w:val="00C045A2"/>
    <w:rsid w:val="00C06B52"/>
    <w:rsid w:val="00C0772F"/>
    <w:rsid w:val="00C1155B"/>
    <w:rsid w:val="00C141E1"/>
    <w:rsid w:val="00C14ED6"/>
    <w:rsid w:val="00C1658D"/>
    <w:rsid w:val="00C20131"/>
    <w:rsid w:val="00C226A0"/>
    <w:rsid w:val="00C25801"/>
    <w:rsid w:val="00C25ED4"/>
    <w:rsid w:val="00C34F98"/>
    <w:rsid w:val="00C365E8"/>
    <w:rsid w:val="00C3737D"/>
    <w:rsid w:val="00C4055C"/>
    <w:rsid w:val="00C44E8C"/>
    <w:rsid w:val="00C505F9"/>
    <w:rsid w:val="00C5197D"/>
    <w:rsid w:val="00C5265D"/>
    <w:rsid w:val="00C579D4"/>
    <w:rsid w:val="00C73178"/>
    <w:rsid w:val="00C731A6"/>
    <w:rsid w:val="00C74C60"/>
    <w:rsid w:val="00C76D81"/>
    <w:rsid w:val="00C76EF1"/>
    <w:rsid w:val="00C81BC1"/>
    <w:rsid w:val="00C9023E"/>
    <w:rsid w:val="00CA151A"/>
    <w:rsid w:val="00CB5110"/>
    <w:rsid w:val="00CC1241"/>
    <w:rsid w:val="00CC176D"/>
    <w:rsid w:val="00CC7621"/>
    <w:rsid w:val="00CD09A5"/>
    <w:rsid w:val="00CD1B7C"/>
    <w:rsid w:val="00CD33BD"/>
    <w:rsid w:val="00CE2D9E"/>
    <w:rsid w:val="00CF0761"/>
    <w:rsid w:val="00CF1E3C"/>
    <w:rsid w:val="00CF5A8D"/>
    <w:rsid w:val="00D0025F"/>
    <w:rsid w:val="00D03B77"/>
    <w:rsid w:val="00D04686"/>
    <w:rsid w:val="00D059AA"/>
    <w:rsid w:val="00D10F1A"/>
    <w:rsid w:val="00D15011"/>
    <w:rsid w:val="00D17DF4"/>
    <w:rsid w:val="00D23485"/>
    <w:rsid w:val="00D237BB"/>
    <w:rsid w:val="00D34E88"/>
    <w:rsid w:val="00D35F17"/>
    <w:rsid w:val="00D444E5"/>
    <w:rsid w:val="00D463C6"/>
    <w:rsid w:val="00D662C8"/>
    <w:rsid w:val="00D720F5"/>
    <w:rsid w:val="00D7248C"/>
    <w:rsid w:val="00D76781"/>
    <w:rsid w:val="00D80D4D"/>
    <w:rsid w:val="00D82A65"/>
    <w:rsid w:val="00D831B4"/>
    <w:rsid w:val="00D83E54"/>
    <w:rsid w:val="00D85022"/>
    <w:rsid w:val="00D8682E"/>
    <w:rsid w:val="00D86DC9"/>
    <w:rsid w:val="00D9741F"/>
    <w:rsid w:val="00DA095D"/>
    <w:rsid w:val="00DA1DE1"/>
    <w:rsid w:val="00DA5FF9"/>
    <w:rsid w:val="00DB02C2"/>
    <w:rsid w:val="00DB0C18"/>
    <w:rsid w:val="00DB0CEA"/>
    <w:rsid w:val="00DB4743"/>
    <w:rsid w:val="00DB4CF1"/>
    <w:rsid w:val="00DB5744"/>
    <w:rsid w:val="00DC037F"/>
    <w:rsid w:val="00DC09B9"/>
    <w:rsid w:val="00DC0EDC"/>
    <w:rsid w:val="00DC7E3A"/>
    <w:rsid w:val="00DD1558"/>
    <w:rsid w:val="00DD3616"/>
    <w:rsid w:val="00DD42D4"/>
    <w:rsid w:val="00DE5537"/>
    <w:rsid w:val="00DE5BCE"/>
    <w:rsid w:val="00DE6AAC"/>
    <w:rsid w:val="00DE6D73"/>
    <w:rsid w:val="00DE759D"/>
    <w:rsid w:val="00DF1175"/>
    <w:rsid w:val="00DF33B0"/>
    <w:rsid w:val="00E06EF4"/>
    <w:rsid w:val="00E0750F"/>
    <w:rsid w:val="00E129B1"/>
    <w:rsid w:val="00E1445E"/>
    <w:rsid w:val="00E14BA7"/>
    <w:rsid w:val="00E15BAB"/>
    <w:rsid w:val="00E22315"/>
    <w:rsid w:val="00E2323F"/>
    <w:rsid w:val="00E25FC6"/>
    <w:rsid w:val="00E2741F"/>
    <w:rsid w:val="00E360A7"/>
    <w:rsid w:val="00E4032E"/>
    <w:rsid w:val="00E44CB6"/>
    <w:rsid w:val="00E508C2"/>
    <w:rsid w:val="00E51D15"/>
    <w:rsid w:val="00E53854"/>
    <w:rsid w:val="00E55F79"/>
    <w:rsid w:val="00E578C7"/>
    <w:rsid w:val="00E62ECD"/>
    <w:rsid w:val="00E65027"/>
    <w:rsid w:val="00E65266"/>
    <w:rsid w:val="00E66FF1"/>
    <w:rsid w:val="00E76C84"/>
    <w:rsid w:val="00E77087"/>
    <w:rsid w:val="00E862B9"/>
    <w:rsid w:val="00E86A5D"/>
    <w:rsid w:val="00E9109E"/>
    <w:rsid w:val="00E9128D"/>
    <w:rsid w:val="00E91F11"/>
    <w:rsid w:val="00E933FA"/>
    <w:rsid w:val="00EA3186"/>
    <w:rsid w:val="00EA48D5"/>
    <w:rsid w:val="00EA4B02"/>
    <w:rsid w:val="00EB4D9D"/>
    <w:rsid w:val="00EE04AC"/>
    <w:rsid w:val="00EE1AA5"/>
    <w:rsid w:val="00EE7537"/>
    <w:rsid w:val="00EF38EE"/>
    <w:rsid w:val="00F00416"/>
    <w:rsid w:val="00F025B9"/>
    <w:rsid w:val="00F0623B"/>
    <w:rsid w:val="00F12646"/>
    <w:rsid w:val="00F15DEC"/>
    <w:rsid w:val="00F202BD"/>
    <w:rsid w:val="00F24565"/>
    <w:rsid w:val="00F25662"/>
    <w:rsid w:val="00F32C29"/>
    <w:rsid w:val="00F40B5E"/>
    <w:rsid w:val="00F4252F"/>
    <w:rsid w:val="00F4344B"/>
    <w:rsid w:val="00F52990"/>
    <w:rsid w:val="00F53CDC"/>
    <w:rsid w:val="00F63331"/>
    <w:rsid w:val="00F63EE0"/>
    <w:rsid w:val="00F67990"/>
    <w:rsid w:val="00F72285"/>
    <w:rsid w:val="00F7633B"/>
    <w:rsid w:val="00F80EA5"/>
    <w:rsid w:val="00F85166"/>
    <w:rsid w:val="00F931FE"/>
    <w:rsid w:val="00F95172"/>
    <w:rsid w:val="00FA1290"/>
    <w:rsid w:val="00FA3AA7"/>
    <w:rsid w:val="00FA67BD"/>
    <w:rsid w:val="00FB2117"/>
    <w:rsid w:val="00FB5FAD"/>
    <w:rsid w:val="00FD5477"/>
    <w:rsid w:val="00FD68F8"/>
    <w:rsid w:val="00FD6A2D"/>
    <w:rsid w:val="00FD7ED9"/>
    <w:rsid w:val="00FE5659"/>
    <w:rsid w:val="00FE5DCB"/>
    <w:rsid w:val="00FF1E29"/>
    <w:rsid w:val="04893C18"/>
    <w:rsid w:val="059921D1"/>
    <w:rsid w:val="07A4687C"/>
    <w:rsid w:val="090A5FB6"/>
    <w:rsid w:val="0D3D1A44"/>
    <w:rsid w:val="0F3B5EA8"/>
    <w:rsid w:val="1021753B"/>
    <w:rsid w:val="13F310AE"/>
    <w:rsid w:val="15DB49C8"/>
    <w:rsid w:val="19B61F54"/>
    <w:rsid w:val="1ABF54C2"/>
    <w:rsid w:val="1D3A1AFC"/>
    <w:rsid w:val="1E5E7A6C"/>
    <w:rsid w:val="230C5CE8"/>
    <w:rsid w:val="24523BCF"/>
    <w:rsid w:val="24630C6B"/>
    <w:rsid w:val="24E617EF"/>
    <w:rsid w:val="256D5FDE"/>
    <w:rsid w:val="25861D82"/>
    <w:rsid w:val="260220A2"/>
    <w:rsid w:val="26C5725D"/>
    <w:rsid w:val="2B7B1C5D"/>
    <w:rsid w:val="2BAC0068"/>
    <w:rsid w:val="2CC55405"/>
    <w:rsid w:val="39875C71"/>
    <w:rsid w:val="3A1A6AE5"/>
    <w:rsid w:val="3CD106C8"/>
    <w:rsid w:val="3E5325C6"/>
    <w:rsid w:val="3F823162"/>
    <w:rsid w:val="41E959BD"/>
    <w:rsid w:val="41FD2F74"/>
    <w:rsid w:val="47A064D3"/>
    <w:rsid w:val="48313978"/>
    <w:rsid w:val="4B372AE9"/>
    <w:rsid w:val="4FEE14AB"/>
    <w:rsid w:val="54B90F7D"/>
    <w:rsid w:val="550247B9"/>
    <w:rsid w:val="56440D1A"/>
    <w:rsid w:val="5668428F"/>
    <w:rsid w:val="57145898"/>
    <w:rsid w:val="59EF7210"/>
    <w:rsid w:val="5ACA3EE7"/>
    <w:rsid w:val="5BB57E26"/>
    <w:rsid w:val="5BE42330"/>
    <w:rsid w:val="5D2E6280"/>
    <w:rsid w:val="60B612C5"/>
    <w:rsid w:val="612B4FB0"/>
    <w:rsid w:val="626D15F8"/>
    <w:rsid w:val="63BD589B"/>
    <w:rsid w:val="644D79C5"/>
    <w:rsid w:val="657D3FE7"/>
    <w:rsid w:val="67A35EC7"/>
    <w:rsid w:val="68AB4C28"/>
    <w:rsid w:val="6BA03D04"/>
    <w:rsid w:val="6CF03552"/>
    <w:rsid w:val="6D17288C"/>
    <w:rsid w:val="70545BA6"/>
    <w:rsid w:val="70E6122C"/>
    <w:rsid w:val="7338355D"/>
    <w:rsid w:val="77FE6B23"/>
    <w:rsid w:val="7A2B4AE4"/>
    <w:rsid w:val="7B7D2454"/>
    <w:rsid w:val="7CEF1130"/>
    <w:rsid w:val="7E29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9"/>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autoSpaceDE w:val="0"/>
      <w:autoSpaceDN w:val="0"/>
      <w:adjustRightInd w:val="0"/>
      <w:jc w:val="left"/>
      <w:textAlignment w:val="baseline"/>
    </w:pPr>
    <w:rPr>
      <w:rFonts w:ascii="宋体" w:hAnsi="Times New Roman" w:eastAsia="宋体" w:cs="Times New Roman"/>
      <w:bCs/>
      <w:spacing w:val="20"/>
      <w:kern w:val="0"/>
      <w:sz w:val="34"/>
      <w:szCs w:val="30"/>
    </w:rPr>
  </w:style>
  <w:style w:type="paragraph" w:styleId="4">
    <w:name w:val="Body Text Indent"/>
    <w:basedOn w:val="1"/>
    <w:link w:val="25"/>
    <w:unhideWhenUsed/>
    <w:qFormat/>
    <w:uiPriority w:val="99"/>
    <w:pPr>
      <w:spacing w:after="120"/>
      <w:ind w:left="420" w:leftChars="200"/>
    </w:p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6"/>
    <w:qFormat/>
    <w:uiPriority w:val="0"/>
    <w:pPr>
      <w:widowControl/>
      <w:adjustRightInd w:val="0"/>
      <w:snapToGrid w:val="0"/>
      <w:spacing w:before="240" w:after="60" w:line="312" w:lineRule="auto"/>
      <w:jc w:val="center"/>
      <w:outlineLvl w:val="1"/>
    </w:pPr>
    <w:rPr>
      <w:rFonts w:ascii="Cambria" w:hAnsi="Cambria" w:eastAsia="宋体" w:cs="Times New Roman"/>
      <w:b/>
      <w:bCs/>
      <w:kern w:val="28"/>
      <w:sz w:val="32"/>
      <w:szCs w:val="32"/>
    </w:rPr>
  </w:style>
  <w:style w:type="paragraph" w:styleId="9">
    <w:name w:val="Body Text Indent 3"/>
    <w:basedOn w:val="1"/>
    <w:link w:val="19"/>
    <w:qFormat/>
    <w:uiPriority w:val="0"/>
    <w:pPr>
      <w:widowControl/>
      <w:spacing w:after="120"/>
      <w:ind w:left="420"/>
      <w:jc w:val="left"/>
    </w:pPr>
    <w:rPr>
      <w:rFonts w:ascii="Times New Roman" w:hAnsi="Times New Roman" w:eastAsia="宋体" w:cs="Times New Roman"/>
      <w:sz w:val="16"/>
      <w:szCs w:val="16"/>
    </w:rPr>
  </w:style>
  <w:style w:type="paragraph" w:styleId="10">
    <w:name w:val="Body Text 2"/>
    <w:basedOn w:val="1"/>
    <w:link w:val="31"/>
    <w:unhideWhenUsed/>
    <w:qFormat/>
    <w:uiPriority w:val="99"/>
    <w:pPr>
      <w:spacing w:after="120" w:line="480" w:lineRule="auto"/>
    </w:p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unhideWhenUsed/>
    <w:qFormat/>
    <w:uiPriority w:val="0"/>
    <w:rPr>
      <w:sz w:val="21"/>
      <w:szCs w:val="21"/>
    </w:rPr>
  </w:style>
  <w:style w:type="character" w:customStyle="1" w:styleId="16">
    <w:name w:val="页眉 Char"/>
    <w:basedOn w:val="14"/>
    <w:link w:val="7"/>
    <w:qFormat/>
    <w:uiPriority w:val="99"/>
    <w:rPr>
      <w:sz w:val="18"/>
      <w:szCs w:val="18"/>
    </w:rPr>
  </w:style>
  <w:style w:type="character" w:customStyle="1" w:styleId="17">
    <w:name w:val="页脚 Char"/>
    <w:basedOn w:val="14"/>
    <w:link w:val="6"/>
    <w:qFormat/>
    <w:uiPriority w:val="99"/>
    <w:rPr>
      <w:sz w:val="18"/>
      <w:szCs w:val="18"/>
    </w:rPr>
  </w:style>
  <w:style w:type="paragraph" w:styleId="18">
    <w:name w:val="List Paragraph"/>
    <w:basedOn w:val="1"/>
    <w:link w:val="30"/>
    <w:qFormat/>
    <w:uiPriority w:val="0"/>
    <w:pPr>
      <w:ind w:firstLine="420" w:firstLineChars="200"/>
    </w:pPr>
  </w:style>
  <w:style w:type="character" w:customStyle="1" w:styleId="19">
    <w:name w:val="正文文本缩进 3 Char"/>
    <w:link w:val="9"/>
    <w:qFormat/>
    <w:uiPriority w:val="0"/>
    <w:rPr>
      <w:rFonts w:ascii="Times New Roman" w:hAnsi="Times New Roman" w:eastAsia="宋体" w:cs="Times New Roman"/>
      <w:sz w:val="16"/>
      <w:szCs w:val="16"/>
    </w:rPr>
  </w:style>
  <w:style w:type="character" w:customStyle="1" w:styleId="20">
    <w:name w:val="正文文本缩进 3 Char1"/>
    <w:basedOn w:val="14"/>
    <w:semiHidden/>
    <w:qFormat/>
    <w:uiPriority w:val="99"/>
    <w:rPr>
      <w:sz w:val="16"/>
      <w:szCs w:val="16"/>
    </w:rPr>
  </w:style>
  <w:style w:type="paragraph" w:customStyle="1" w:styleId="21">
    <w:name w:val="制度有条款"/>
    <w:basedOn w:val="18"/>
    <w:qFormat/>
    <w:uiPriority w:val="0"/>
    <w:pPr>
      <w:autoSpaceDE w:val="0"/>
      <w:autoSpaceDN w:val="0"/>
      <w:adjustRightInd w:val="0"/>
      <w:spacing w:line="360" w:lineRule="auto"/>
      <w:ind w:left="990" w:firstLine="0" w:firstLineChars="0"/>
      <w:jc w:val="left"/>
      <w:textAlignment w:val="baseline"/>
    </w:pPr>
    <w:rPr>
      <w:rFonts w:ascii="仿宋_GB2312" w:hAnsi="Calibri" w:eastAsia="仿宋_GB2312" w:cs="Times New Roman"/>
      <w:bCs/>
      <w:spacing w:val="20"/>
      <w:kern w:val="0"/>
      <w:sz w:val="24"/>
      <w:szCs w:val="24"/>
    </w:rPr>
  </w:style>
  <w:style w:type="character" w:customStyle="1" w:styleId="22">
    <w:name w:val="批注文字 Char"/>
    <w:basedOn w:val="14"/>
    <w:link w:val="3"/>
    <w:qFormat/>
    <w:uiPriority w:val="99"/>
    <w:rPr>
      <w:rFonts w:ascii="宋体" w:hAnsi="Times New Roman" w:eastAsia="宋体" w:cs="Times New Roman"/>
      <w:bCs/>
      <w:spacing w:val="20"/>
      <w:kern w:val="0"/>
      <w:sz w:val="34"/>
      <w:szCs w:val="30"/>
    </w:rPr>
  </w:style>
  <w:style w:type="character" w:customStyle="1" w:styleId="23">
    <w:name w:val="批注框文本 Char"/>
    <w:basedOn w:val="14"/>
    <w:link w:val="5"/>
    <w:semiHidden/>
    <w:qFormat/>
    <w:uiPriority w:val="99"/>
    <w:rPr>
      <w:sz w:val="18"/>
      <w:szCs w:val="18"/>
    </w:rPr>
  </w:style>
  <w:style w:type="paragraph" w:customStyle="1" w:styleId="24">
    <w:name w:val="制度无条款"/>
    <w:basedOn w:val="11"/>
    <w:qFormat/>
    <w:uiPriority w:val="0"/>
    <w:pPr>
      <w:widowControl/>
      <w:spacing w:line="360" w:lineRule="auto"/>
      <w:ind w:firstLine="480" w:firstLineChars="200"/>
      <w:jc w:val="left"/>
    </w:pPr>
    <w:rPr>
      <w:rFonts w:ascii="仿宋_GB2312" w:eastAsia="仿宋_GB2312"/>
      <w:color w:val="000000"/>
    </w:rPr>
  </w:style>
  <w:style w:type="character" w:customStyle="1" w:styleId="25">
    <w:name w:val="正文文本缩进 Char"/>
    <w:basedOn w:val="14"/>
    <w:link w:val="4"/>
    <w:qFormat/>
    <w:uiPriority w:val="99"/>
  </w:style>
  <w:style w:type="character" w:customStyle="1" w:styleId="26">
    <w:name w:val="副标题 Char"/>
    <w:link w:val="8"/>
    <w:qFormat/>
    <w:uiPriority w:val="0"/>
    <w:rPr>
      <w:rFonts w:ascii="Cambria" w:hAnsi="Cambria" w:eastAsia="宋体" w:cs="Times New Roman"/>
      <w:b/>
      <w:bCs/>
      <w:kern w:val="28"/>
      <w:sz w:val="32"/>
      <w:szCs w:val="32"/>
    </w:rPr>
  </w:style>
  <w:style w:type="character" w:customStyle="1" w:styleId="27">
    <w:name w:val="副标题 Char1"/>
    <w:basedOn w:val="14"/>
    <w:qFormat/>
    <w:uiPriority w:val="11"/>
    <w:rPr>
      <w:rFonts w:eastAsia="宋体" w:asciiTheme="majorHAnsi" w:hAnsiTheme="majorHAnsi" w:cstheme="majorBidi"/>
      <w:b/>
      <w:bCs/>
      <w:kern w:val="28"/>
      <w:sz w:val="32"/>
      <w:szCs w:val="32"/>
    </w:rPr>
  </w:style>
  <w:style w:type="character" w:customStyle="1" w:styleId="28">
    <w:name w:val="标题 2 Char"/>
    <w:basedOn w:val="14"/>
    <w:semiHidden/>
    <w:qFormat/>
    <w:uiPriority w:val="9"/>
    <w:rPr>
      <w:rFonts w:asciiTheme="majorHAnsi" w:hAnsiTheme="majorHAnsi" w:eastAsiaTheme="majorEastAsia" w:cstheme="majorBidi"/>
      <w:b/>
      <w:bCs/>
      <w:sz w:val="32"/>
      <w:szCs w:val="32"/>
    </w:rPr>
  </w:style>
  <w:style w:type="character" w:customStyle="1" w:styleId="29">
    <w:name w:val="标题 2 Char1"/>
    <w:link w:val="2"/>
    <w:qFormat/>
    <w:uiPriority w:val="0"/>
    <w:rPr>
      <w:rFonts w:ascii="Cambria" w:hAnsi="Cambria" w:eastAsia="宋体" w:cs="Times New Roman"/>
      <w:b/>
      <w:bCs/>
      <w:kern w:val="0"/>
      <w:sz w:val="32"/>
      <w:szCs w:val="32"/>
    </w:rPr>
  </w:style>
  <w:style w:type="character" w:customStyle="1" w:styleId="30">
    <w:name w:val="列出段落 Char"/>
    <w:link w:val="18"/>
    <w:qFormat/>
    <w:uiPriority w:val="0"/>
  </w:style>
  <w:style w:type="character" w:customStyle="1" w:styleId="31">
    <w:name w:val="正文文本 2 Char"/>
    <w:basedOn w:val="14"/>
    <w:link w:val="10"/>
    <w:qFormat/>
    <w:uiPriority w:val="99"/>
  </w:style>
  <w:style w:type="paragraph" w:customStyle="1" w:styleId="3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E82E-13CF-46E0-8709-6A18CB97B8B2}">
  <ds:schemaRefs/>
</ds:datastoreItem>
</file>

<file path=docProps/app.xml><?xml version="1.0" encoding="utf-8"?>
<Properties xmlns="http://schemas.openxmlformats.org/officeDocument/2006/extended-properties" xmlns:vt="http://schemas.openxmlformats.org/officeDocument/2006/docPropsVTypes">
  <Template>Normal</Template>
  <Pages>30</Pages>
  <Words>13649</Words>
  <Characters>13856</Characters>
  <Lines>4</Lines>
  <Paragraphs>1</Paragraphs>
  <TotalTime>1</TotalTime>
  <ScaleCrop>false</ScaleCrop>
  <LinksUpToDate>false</LinksUpToDate>
  <CharactersWithSpaces>13995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2018-08-21T01:52:00Z</dcterms:created>
  <dc:creator>徐星石</dc:creator>
  <cp:lastModifiedBy>史龙虎</cp:lastModifiedBy>
  <dcterms:modified xsi:type="dcterms:W3CDTF">2023-03-24T00:55:20Z</dcterms:modified>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D141B8AAB26F4A71B07BD11F06B203D7</vt:lpwstr>
  </property>
</Properties>
</file>