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28"/>
        </w:rPr>
      </w:pPr>
      <w:r>
        <w:rPr>
          <w:rFonts w:hint="eastAsia" w:ascii="仿宋" w:hAnsi="仿宋" w:eastAsia="仿宋" w:cs="仿宋"/>
          <w:b/>
          <w:sz w:val="28"/>
          <w:lang w:val="en-US" w:eastAsia="zh-CN"/>
        </w:rPr>
        <w:t>融资融券合同</w:t>
      </w:r>
      <w:r>
        <w:rPr>
          <w:rFonts w:hint="eastAsia" w:ascii="仿宋" w:hAnsi="仿宋" w:eastAsia="仿宋" w:cs="仿宋"/>
          <w:b/>
          <w:sz w:val="28"/>
        </w:rPr>
        <w:t>修订条款内容对照表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2"/>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《开源证券股份有限公司</w:t>
            </w:r>
            <w:r>
              <w:rPr>
                <w:rFonts w:hint="eastAsia" w:ascii="仿宋" w:hAnsi="仿宋" w:eastAsia="仿宋" w:cs="仿宋"/>
                <w:b/>
                <w:color w:val="000000" w:themeColor="text1"/>
                <w:sz w:val="24"/>
                <w:szCs w:val="24"/>
                <w:lang w:val="en-US" w:eastAsia="zh-CN"/>
                <w14:textFill>
                  <w14:solidFill>
                    <w14:schemeClr w14:val="tx1"/>
                  </w14:solidFill>
                </w14:textFill>
              </w:rPr>
              <w:t>融资融券业务合同</w:t>
            </w:r>
            <w:r>
              <w:rPr>
                <w:rFonts w:hint="eastAsia" w:ascii="仿宋" w:hAnsi="仿宋" w:eastAsia="仿宋" w:cs="仿宋"/>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148" w:type="dxa"/>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原条款</w:t>
            </w:r>
          </w:p>
        </w:tc>
        <w:tc>
          <w:tcPr>
            <w:tcW w:w="4148" w:type="dxa"/>
          </w:tcPr>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修订后条款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tabs>
                <w:tab w:val="left" w:pos="0"/>
                <w:tab w:val="left" w:pos="180"/>
              </w:tabs>
              <w:spacing w:line="400" w:lineRule="exact"/>
              <w:ind w:right="25" w:rightChars="12" w:firstLine="489" w:firstLineChars="204"/>
              <w:rPr>
                <w:rFonts w:hint="eastAsia" w:ascii="仿宋" w:hAnsi="仿宋" w:eastAsia="仿宋" w:cs="仿宋"/>
                <w:sz w:val="24"/>
                <w:szCs w:val="24"/>
              </w:rPr>
            </w:pPr>
            <w:r>
              <w:rPr>
                <w:rFonts w:hint="eastAsia" w:ascii="仿宋" w:hAnsi="仿宋" w:eastAsia="仿宋" w:cs="仿宋"/>
                <w:sz w:val="24"/>
                <w:szCs w:val="24"/>
              </w:rPr>
              <w:t>依照《中华人民共和国证券法》《中华人民共和国民法典》《中华人民共和国信托法》等法律，依据《证券公司融资融券业务管理办法》《上海证券交易所融资融券交易实施细则》《深圳证券交易所融资融券交易实施细则》《北京证券交易所融资融券交易细则》《中国证券登记结算有限责任公司融资融券登记结算业务实施细则》《融资融券合同必备条款》《上海证券交易所科创板股票交易特别规定》《深圳证券交易所创业板交易特别规定》等规定，甲乙双方在平等、自愿、诚实信用的基础上，就乙方为甲方提供融资融券服务的相关事宜，达成如下合同，供双方共同遵守。</w:t>
            </w:r>
          </w:p>
          <w:p>
            <w:pPr>
              <w:numPr>
                <w:ilvl w:val="0"/>
                <w:numId w:val="0"/>
              </w:numPr>
              <w:ind w:firstLine="482" w:firstLineChars="200"/>
              <w:jc w:val="both"/>
              <w:rPr>
                <w:rFonts w:hint="eastAsia" w:ascii="仿宋" w:hAnsi="仿宋" w:eastAsia="仿宋" w:cs="仿宋"/>
                <w:b/>
                <w:sz w:val="24"/>
                <w:szCs w:val="24"/>
              </w:rPr>
            </w:pPr>
          </w:p>
        </w:tc>
        <w:tc>
          <w:tcPr>
            <w:tcW w:w="4148" w:type="dxa"/>
          </w:tcPr>
          <w:p>
            <w:pPr>
              <w:tabs>
                <w:tab w:val="left" w:pos="0"/>
                <w:tab w:val="left" w:pos="180"/>
              </w:tabs>
              <w:spacing w:line="400" w:lineRule="exact"/>
              <w:ind w:right="25" w:rightChars="12" w:firstLine="489" w:firstLineChars="204"/>
              <w:rPr>
                <w:rFonts w:hint="eastAsia" w:ascii="仿宋" w:hAnsi="仿宋" w:eastAsia="仿宋" w:cs="仿宋"/>
                <w:sz w:val="24"/>
                <w:szCs w:val="24"/>
              </w:rPr>
            </w:pPr>
            <w:r>
              <w:rPr>
                <w:rFonts w:hint="eastAsia" w:ascii="仿宋" w:hAnsi="仿宋" w:eastAsia="仿宋" w:cs="仿宋"/>
                <w:sz w:val="24"/>
                <w:szCs w:val="24"/>
              </w:rPr>
              <w:t>依照《中华人民共和国证券法》《中华人民共和国民法典》《中华人民共和国信托法》等法律，依据《证券公司融资融券业务管理办法》《上海证券交易所融资融券交易实施细则》《深圳证券交易所融资融券交易实施细则》《北京证券交易所融资融券交易细则》《中国证券登记结算有限责任公司融资融券登记结算业务实施细则》《融资融券合同必备条款》《上海证券交易所科创板股票交易特别规定》《深圳证券交易所创业板交易特别规定》</w:t>
            </w:r>
            <w:r>
              <w:rPr>
                <w:rFonts w:hint="eastAsia" w:ascii="仿宋" w:hAnsi="仿宋" w:eastAsia="仿宋" w:cs="仿宋"/>
                <w:b/>
                <w:bCs/>
                <w:sz w:val="24"/>
                <w:szCs w:val="24"/>
              </w:rPr>
              <w:t>等</w:t>
            </w:r>
            <w:r>
              <w:rPr>
                <w:rFonts w:hint="eastAsia" w:ascii="仿宋" w:hAnsi="仿宋" w:eastAsia="仿宋" w:cs="仿宋"/>
                <w:b/>
                <w:bCs/>
                <w:sz w:val="24"/>
                <w:szCs w:val="24"/>
                <w:lang w:val="en-US" w:eastAsia="zh-CN"/>
              </w:rPr>
              <w:t>法律法规及中国证监会其他规范性文件、证券交易所和证券登记结算机构业务规则</w:t>
            </w:r>
            <w:r>
              <w:rPr>
                <w:rFonts w:hint="eastAsia" w:ascii="仿宋" w:hAnsi="仿宋" w:eastAsia="仿宋" w:cs="仿宋"/>
                <w:b/>
                <w:bCs/>
                <w:sz w:val="24"/>
                <w:szCs w:val="24"/>
              </w:rPr>
              <w:t>规定</w:t>
            </w:r>
            <w:r>
              <w:rPr>
                <w:rFonts w:hint="eastAsia" w:ascii="仿宋" w:hAnsi="仿宋" w:eastAsia="仿宋" w:cs="仿宋"/>
                <w:sz w:val="24"/>
                <w:szCs w:val="24"/>
              </w:rPr>
              <w:t>，甲乙双方在平等、自愿、诚实信用的基础上，就乙方为甲方提供融资融券服务的相关事宜，达成如下合同，供双方共同遵守。</w:t>
            </w:r>
          </w:p>
          <w:p>
            <w:pPr>
              <w:numPr>
                <w:ilvl w:val="0"/>
                <w:numId w:val="0"/>
              </w:numPr>
              <w:ind w:firstLine="482" w:firstLineChars="200"/>
              <w:jc w:val="both"/>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numPr>
                <w:ilvl w:val="0"/>
                <w:numId w:val="0"/>
              </w:numPr>
              <w:jc w:val="both"/>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 xml:space="preserve">    第一条 </w:t>
            </w:r>
            <w:r>
              <w:rPr>
                <w:rFonts w:hint="eastAsia" w:ascii="仿宋" w:hAnsi="仿宋" w:eastAsia="仿宋" w:cs="仿宋"/>
                <w:b/>
                <w:color w:val="000000" w:themeColor="text1"/>
                <w:sz w:val="24"/>
                <w:szCs w:val="24"/>
                <w14:textFill>
                  <w14:solidFill>
                    <w14:schemeClr w14:val="tx1"/>
                  </w14:solidFill>
                </w14:textFill>
              </w:rPr>
              <w:t>释义与定义</w:t>
            </w:r>
          </w:p>
          <w:p>
            <w:pPr>
              <w:tabs>
                <w:tab w:val="left" w:pos="0"/>
                <w:tab w:val="left" w:pos="180"/>
              </w:tabs>
              <w:spacing w:line="400" w:lineRule="exact"/>
              <w:ind w:right="25" w:rightChars="12" w:firstLine="489" w:firstLineChars="204"/>
              <w:rPr>
                <w:rFonts w:hint="eastAsia" w:ascii="仿宋" w:hAnsi="仿宋" w:eastAsia="仿宋" w:cs="仿宋"/>
                <w:b/>
                <w:sz w:val="24"/>
                <w:szCs w:val="24"/>
              </w:rPr>
            </w:pPr>
            <w:r>
              <w:rPr>
                <w:rFonts w:hint="eastAsia" w:ascii="仿宋" w:hAnsi="仿宋" w:eastAsia="仿宋" w:cs="仿宋"/>
                <w:sz w:val="24"/>
                <w:szCs w:val="24"/>
              </w:rPr>
              <w:t>除非本合同另有解释或说明，本合同中的下列词语或简称具有如下含义：</w:t>
            </w:r>
          </w:p>
          <w:p>
            <w:pPr>
              <w:numPr>
                <w:ilvl w:val="0"/>
                <w:numId w:val="0"/>
              </w:numPr>
              <w:ind w:firstLine="482" w:firstLineChars="200"/>
              <w:jc w:val="both"/>
              <w:rPr>
                <w:rFonts w:hint="eastAsia" w:ascii="仿宋" w:hAnsi="仿宋" w:eastAsia="仿宋" w:cs="仿宋"/>
                <w:b/>
                <w:sz w:val="24"/>
                <w:szCs w:val="24"/>
              </w:rPr>
            </w:pPr>
            <w:r>
              <w:rPr>
                <w:rFonts w:hint="eastAsia" w:ascii="仿宋" w:hAnsi="仿宋" w:eastAsia="仿宋" w:cs="仿宋"/>
                <w:b/>
                <w:sz w:val="24"/>
                <w:szCs w:val="24"/>
              </w:rPr>
              <w:t>……</w:t>
            </w:r>
          </w:p>
          <w:p>
            <w:pPr>
              <w:tabs>
                <w:tab w:val="left" w:pos="0"/>
                <w:tab w:val="left" w:pos="180"/>
              </w:tabs>
              <w:spacing w:line="400" w:lineRule="exact"/>
              <w:ind w:right="25" w:rightChars="12" w:firstLine="489" w:firstLineChars="204"/>
              <w:rPr>
                <w:rFonts w:hint="eastAsia" w:ascii="仿宋" w:hAnsi="仿宋" w:eastAsia="仿宋" w:cs="仿宋"/>
                <w:sz w:val="24"/>
                <w:szCs w:val="24"/>
                <w:lang w:eastAsia="zh-CN"/>
              </w:rPr>
            </w:pPr>
            <w:r>
              <w:rPr>
                <w:rFonts w:hint="eastAsia" w:ascii="仿宋" w:hAnsi="仿宋" w:eastAsia="仿宋" w:cs="仿宋"/>
                <w:sz w:val="24"/>
                <w:szCs w:val="24"/>
                <w:lang w:eastAsia="zh-CN"/>
              </w:rPr>
              <w:t>（十八）保证金：在甲方融资、融券时，乙方向甲方收取一定比例的保证金。保证金包含可充抵保证金的现金及证券。</w:t>
            </w:r>
          </w:p>
          <w:p>
            <w:pPr>
              <w:numPr>
                <w:ilvl w:val="0"/>
                <w:numId w:val="0"/>
              </w:numPr>
              <w:ind w:firstLine="482" w:firstLineChars="200"/>
              <w:jc w:val="both"/>
              <w:rPr>
                <w:rFonts w:hint="eastAsia" w:ascii="仿宋" w:hAnsi="仿宋" w:eastAsia="仿宋" w:cs="仿宋"/>
                <w:b/>
                <w:sz w:val="24"/>
                <w:szCs w:val="24"/>
              </w:rPr>
            </w:pPr>
            <w:r>
              <w:rPr>
                <w:rFonts w:hint="eastAsia" w:ascii="仿宋" w:hAnsi="仿宋" w:eastAsia="仿宋" w:cs="仿宋"/>
                <w:b/>
                <w:sz w:val="24"/>
                <w:szCs w:val="24"/>
              </w:rPr>
              <w:t>……</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三十一）警戒线：甲方信用账户维持担保比例的安全界限，当维持担保比例低于规定数值时，甲方应追加担保物，这一数值称为警戒线。警戒线维持担保比例由乙方通过其网站、营业场所、行情与交易系统软件等任何一种或几种方式进行公告，如乙方调整警戒线的维持担保比例的，可以通过上述一种或几种方式进行公告。</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三十二）平仓线：甲方信用账户维持担保比例的最低标准，当维持担保比例低于规定数值时，甲方应在规定期限追加担保物至警戒线及以上，否则乙方有权对担保物采取强制平仓等处置措施，这一数值称为平仓线。平仓线的维持担保比例由乙方通过其网站、营业场所、行情与交易系统软件等任何一种或几种方式进行公告，如乙方调整平仓线的维持担保比例的，可以通过上述一种或几种方式进行公告。</w:t>
            </w:r>
          </w:p>
          <w:p>
            <w:pPr>
              <w:numPr>
                <w:ilvl w:val="0"/>
                <w:numId w:val="0"/>
              </w:numPr>
              <w:ind w:firstLine="482" w:firstLineChars="200"/>
              <w:jc w:val="both"/>
              <w:rPr>
                <w:rFonts w:hint="eastAsia" w:ascii="仿宋" w:hAnsi="仿宋" w:eastAsia="仿宋" w:cs="仿宋"/>
                <w:b/>
                <w:sz w:val="24"/>
                <w:szCs w:val="24"/>
              </w:rPr>
            </w:pPr>
            <w:r>
              <w:rPr>
                <w:rFonts w:hint="eastAsia" w:ascii="仿宋" w:hAnsi="仿宋" w:eastAsia="仿宋" w:cs="仿宋"/>
                <w:b/>
                <w:sz w:val="24"/>
                <w:szCs w:val="24"/>
              </w:rPr>
              <w:t>……</w:t>
            </w:r>
          </w:p>
          <w:p>
            <w:pPr>
              <w:tabs>
                <w:tab w:val="left" w:pos="0"/>
                <w:tab w:val="left" w:pos="180"/>
              </w:tabs>
              <w:spacing w:line="400" w:lineRule="exact"/>
              <w:ind w:right="25" w:rightChars="12" w:firstLine="489" w:firstLineChars="204"/>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三十四</w:t>
            </w:r>
            <w:r>
              <w:rPr>
                <w:rFonts w:hint="eastAsia" w:ascii="仿宋" w:hAnsi="仿宋" w:eastAsia="仿宋" w:cs="仿宋"/>
                <w:sz w:val="24"/>
                <w:szCs w:val="24"/>
                <w:lang w:eastAsia="zh-CN"/>
              </w:rPr>
              <w:t>）提保线：甲方信用账户维持担保比例高于规定数值时，甲方可以提取保证金可用余额中的现金或充抵保证金的证券，提取后甲方信用账户仅计算现金及证券市值总和的维持担保比例不得低于该数值，这一数值称为提保线。提保线的维持担保比例为300%，如乙方调整提保线的维持担保比例的，可以通过其网站、营业场所、行情与交易系统软件等任何一种或几种方式进行公告。</w:t>
            </w:r>
          </w:p>
          <w:p>
            <w:pPr>
              <w:tabs>
                <w:tab w:val="left" w:pos="0"/>
                <w:tab w:val="left" w:pos="180"/>
              </w:tabs>
              <w:spacing w:line="400" w:lineRule="exact"/>
              <w:ind w:right="25" w:rightChars="12" w:firstLine="482" w:firstLineChars="200"/>
              <w:rPr>
                <w:rFonts w:hint="eastAsia" w:ascii="仿宋" w:hAnsi="仿宋" w:eastAsia="仿宋" w:cs="仿宋"/>
                <w:sz w:val="24"/>
                <w:szCs w:val="24"/>
              </w:rPr>
            </w:pPr>
            <w:r>
              <w:rPr>
                <w:rFonts w:hint="eastAsia" w:ascii="仿宋" w:hAnsi="仿宋" w:eastAsia="仿宋" w:cs="仿宋"/>
                <w:b/>
                <w:sz w:val="24"/>
                <w:szCs w:val="24"/>
              </w:rPr>
              <w:t>……</w:t>
            </w:r>
          </w:p>
          <w:p>
            <w:pPr>
              <w:numPr>
                <w:ilvl w:val="0"/>
                <w:numId w:val="0"/>
              </w:numPr>
              <w:ind w:firstLine="480" w:firstLineChars="200"/>
              <w:jc w:val="both"/>
              <w:rPr>
                <w:rFonts w:hint="eastAsia" w:ascii="仿宋" w:hAnsi="仿宋" w:eastAsia="仿宋" w:cs="仿宋"/>
                <w:sz w:val="24"/>
                <w:szCs w:val="24"/>
                <w:lang w:eastAsia="zh-CN"/>
              </w:rPr>
            </w:pPr>
          </w:p>
        </w:tc>
        <w:tc>
          <w:tcPr>
            <w:tcW w:w="4148" w:type="dxa"/>
          </w:tcPr>
          <w:p>
            <w:pPr>
              <w:numPr>
                <w:ilvl w:val="0"/>
                <w:numId w:val="0"/>
              </w:numPr>
              <w:ind w:firstLine="482" w:firstLineChars="200"/>
              <w:jc w:val="both"/>
              <w:rPr>
                <w:rFonts w:hint="eastAsia" w:ascii="仿宋" w:hAnsi="仿宋" w:eastAsia="仿宋" w:cs="仿宋"/>
                <w:b/>
                <w:sz w:val="24"/>
                <w:szCs w:val="24"/>
              </w:rPr>
            </w:pPr>
            <w:r>
              <w:rPr>
                <w:rFonts w:hint="eastAsia" w:ascii="仿宋" w:hAnsi="仿宋" w:eastAsia="仿宋" w:cs="仿宋"/>
                <w:b/>
                <w:sz w:val="24"/>
                <w:szCs w:val="24"/>
                <w:lang w:val="en-US" w:eastAsia="zh-CN"/>
              </w:rPr>
              <w:t xml:space="preserve">第一条 </w:t>
            </w:r>
            <w:r>
              <w:rPr>
                <w:rFonts w:hint="eastAsia" w:ascii="仿宋" w:hAnsi="仿宋" w:eastAsia="仿宋" w:cs="仿宋"/>
                <w:b/>
                <w:sz w:val="24"/>
                <w:szCs w:val="24"/>
              </w:rPr>
              <w:t>释义与定义</w:t>
            </w:r>
          </w:p>
          <w:p>
            <w:pPr>
              <w:tabs>
                <w:tab w:val="left" w:pos="0"/>
                <w:tab w:val="left" w:pos="180"/>
              </w:tabs>
              <w:spacing w:line="400" w:lineRule="exact"/>
              <w:ind w:right="25" w:rightChars="12" w:firstLine="489" w:firstLineChars="204"/>
              <w:rPr>
                <w:rFonts w:hint="eastAsia" w:ascii="仿宋" w:hAnsi="仿宋" w:eastAsia="仿宋" w:cs="仿宋"/>
                <w:b/>
                <w:sz w:val="24"/>
                <w:szCs w:val="24"/>
              </w:rPr>
            </w:pPr>
            <w:r>
              <w:rPr>
                <w:rFonts w:hint="eastAsia" w:ascii="仿宋" w:hAnsi="仿宋" w:eastAsia="仿宋" w:cs="仿宋"/>
                <w:sz w:val="24"/>
                <w:szCs w:val="24"/>
              </w:rPr>
              <w:t>除非本合同另有解释或说明，本合同中的下列词语或简称具有如下含义：</w:t>
            </w:r>
          </w:p>
          <w:p>
            <w:pPr>
              <w:numPr>
                <w:ilvl w:val="0"/>
                <w:numId w:val="0"/>
              </w:numPr>
              <w:ind w:firstLine="482" w:firstLineChars="200"/>
              <w:jc w:val="both"/>
              <w:rPr>
                <w:rFonts w:hint="eastAsia" w:ascii="仿宋" w:hAnsi="仿宋" w:eastAsia="仿宋" w:cs="仿宋"/>
                <w:b/>
                <w:sz w:val="24"/>
                <w:szCs w:val="24"/>
              </w:rPr>
            </w:pPr>
            <w:r>
              <w:rPr>
                <w:rFonts w:hint="eastAsia" w:ascii="仿宋" w:hAnsi="仿宋" w:eastAsia="仿宋" w:cs="仿宋"/>
                <w:b/>
                <w:sz w:val="24"/>
                <w:szCs w:val="24"/>
              </w:rPr>
              <w:t>……</w:t>
            </w:r>
          </w:p>
          <w:p>
            <w:pPr>
              <w:tabs>
                <w:tab w:val="left" w:pos="0"/>
                <w:tab w:val="left" w:pos="180"/>
              </w:tabs>
              <w:spacing w:line="400" w:lineRule="exact"/>
              <w:ind w:right="25" w:rightChars="12" w:firstLine="489" w:firstLineChars="204"/>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十八</w:t>
            </w:r>
            <w:r>
              <w:rPr>
                <w:rFonts w:hint="eastAsia" w:ascii="仿宋" w:hAnsi="仿宋" w:eastAsia="仿宋" w:cs="仿宋"/>
                <w:sz w:val="24"/>
                <w:szCs w:val="24"/>
                <w:lang w:eastAsia="zh-CN"/>
              </w:rPr>
              <w:t>）</w:t>
            </w:r>
            <w:r>
              <w:rPr>
                <w:rFonts w:hint="eastAsia" w:ascii="仿宋" w:hAnsi="仿宋" w:eastAsia="仿宋" w:cs="仿宋"/>
                <w:sz w:val="24"/>
                <w:szCs w:val="24"/>
              </w:rPr>
              <w:t>保证金：在甲方融资、融券时，乙方向甲方收取一定比例的保证金。保证金包含</w:t>
            </w:r>
            <w:r>
              <w:rPr>
                <w:rFonts w:hint="eastAsia" w:ascii="仿宋" w:hAnsi="仿宋" w:eastAsia="仿宋" w:cs="仿宋"/>
                <w:b/>
                <w:bCs/>
                <w:sz w:val="24"/>
                <w:szCs w:val="24"/>
                <w:lang w:val="en-US" w:eastAsia="zh-CN"/>
              </w:rPr>
              <w:t>现金及</w:t>
            </w:r>
            <w:r>
              <w:rPr>
                <w:rFonts w:hint="eastAsia" w:ascii="仿宋" w:hAnsi="仿宋" w:eastAsia="仿宋" w:cs="仿宋"/>
                <w:b/>
                <w:bCs/>
                <w:sz w:val="24"/>
                <w:szCs w:val="24"/>
              </w:rPr>
              <w:t>可充抵保证金的证券</w:t>
            </w:r>
            <w:r>
              <w:rPr>
                <w:rFonts w:hint="eastAsia" w:ascii="仿宋" w:hAnsi="仿宋" w:eastAsia="仿宋" w:cs="仿宋"/>
                <w:sz w:val="24"/>
                <w:szCs w:val="24"/>
                <w:lang w:eastAsia="zh-CN"/>
              </w:rPr>
              <w:t>。</w:t>
            </w:r>
          </w:p>
          <w:p>
            <w:pPr>
              <w:numPr>
                <w:ilvl w:val="0"/>
                <w:numId w:val="0"/>
              </w:numPr>
              <w:ind w:firstLine="482" w:firstLineChars="200"/>
              <w:jc w:val="both"/>
              <w:rPr>
                <w:rFonts w:hint="eastAsia" w:ascii="仿宋" w:hAnsi="仿宋" w:eastAsia="仿宋" w:cs="仿宋"/>
                <w:sz w:val="24"/>
                <w:szCs w:val="24"/>
                <w:lang w:eastAsia="zh-CN"/>
              </w:rPr>
            </w:pPr>
            <w:r>
              <w:rPr>
                <w:rFonts w:hint="eastAsia" w:ascii="仿宋" w:hAnsi="仿宋" w:eastAsia="仿宋" w:cs="仿宋"/>
                <w:b/>
                <w:sz w:val="24"/>
                <w:szCs w:val="24"/>
              </w:rPr>
              <w:t>……</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（三十一）警戒线：甲方信用账户维持担保比例的安全界限，当维持担保比例低于规定数值时，甲方应追加担保物，这一数值称为警戒线</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也可以称为追保到位线或者安全线</w:t>
            </w:r>
            <w:r>
              <w:rPr>
                <w:rFonts w:hint="eastAsia" w:ascii="仿宋" w:hAnsi="仿宋" w:eastAsia="仿宋" w:cs="仿宋"/>
                <w:b/>
                <w:bCs/>
                <w:sz w:val="24"/>
                <w:szCs w:val="24"/>
              </w:rPr>
              <w:t>。</w:t>
            </w:r>
            <w:r>
              <w:rPr>
                <w:rFonts w:hint="eastAsia" w:ascii="仿宋" w:hAnsi="仿宋" w:eastAsia="仿宋" w:cs="仿宋"/>
                <w:sz w:val="24"/>
                <w:szCs w:val="24"/>
              </w:rPr>
              <w:t>警戒线维持担保比例由乙方通过其网站、营业场所、行情与交易系统软件等任何一种或几种方式进行公告，如乙方调整警戒线的维持担保比例的，可以通过上述一种或几种方式进行公告。</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（三十二）</w:t>
            </w:r>
            <w:r>
              <w:rPr>
                <w:rFonts w:hint="eastAsia" w:ascii="仿宋" w:hAnsi="仿宋" w:eastAsia="仿宋" w:cs="仿宋"/>
                <w:b/>
                <w:bCs/>
                <w:sz w:val="24"/>
                <w:szCs w:val="24"/>
                <w:lang w:val="en-US" w:eastAsia="zh-CN"/>
              </w:rPr>
              <w:t>追保线</w:t>
            </w:r>
            <w:r>
              <w:rPr>
                <w:rFonts w:hint="eastAsia" w:ascii="仿宋" w:hAnsi="仿宋" w:eastAsia="仿宋" w:cs="仿宋"/>
                <w:sz w:val="24"/>
                <w:szCs w:val="24"/>
              </w:rPr>
              <w:t>：甲方信用账户维持担保比例的最低标准，当维持担保比例低于规定数值时，甲方应在规定期限追加担保物至</w:t>
            </w:r>
            <w:r>
              <w:rPr>
                <w:rFonts w:hint="eastAsia" w:ascii="仿宋" w:hAnsi="仿宋" w:eastAsia="仿宋" w:cs="仿宋"/>
                <w:sz w:val="24"/>
                <w:szCs w:val="24"/>
                <w:lang w:val="en-US"/>
              </w:rPr>
              <w:t>警戒线</w:t>
            </w:r>
            <w:r>
              <w:rPr>
                <w:rFonts w:hint="eastAsia" w:ascii="仿宋" w:hAnsi="仿宋" w:eastAsia="仿宋" w:cs="仿宋"/>
                <w:sz w:val="24"/>
                <w:szCs w:val="24"/>
              </w:rPr>
              <w:t>及以上，否则乙方有权对担保物采取强制平仓等处置措施，这一数值称为</w:t>
            </w:r>
            <w:r>
              <w:rPr>
                <w:rFonts w:hint="eastAsia" w:ascii="仿宋" w:hAnsi="仿宋" w:eastAsia="仿宋" w:cs="仿宋"/>
                <w:b/>
                <w:bCs/>
                <w:sz w:val="24"/>
                <w:szCs w:val="24"/>
                <w:lang w:val="en-US" w:eastAsia="zh-CN"/>
              </w:rPr>
              <w:t>追保线</w:t>
            </w:r>
            <w:r>
              <w:rPr>
                <w:rFonts w:hint="eastAsia" w:ascii="仿宋" w:hAnsi="仿宋" w:eastAsia="仿宋" w:cs="仿宋"/>
                <w:sz w:val="24"/>
                <w:szCs w:val="24"/>
              </w:rPr>
              <w:t>。</w:t>
            </w:r>
            <w:r>
              <w:rPr>
                <w:rFonts w:hint="eastAsia" w:ascii="仿宋" w:hAnsi="仿宋" w:eastAsia="仿宋" w:cs="仿宋"/>
                <w:b/>
                <w:bCs/>
                <w:sz w:val="24"/>
                <w:szCs w:val="24"/>
                <w:lang w:val="en-US" w:eastAsia="zh-CN"/>
              </w:rPr>
              <w:t>追保线</w:t>
            </w:r>
            <w:r>
              <w:rPr>
                <w:rFonts w:hint="eastAsia" w:ascii="仿宋" w:hAnsi="仿宋" w:eastAsia="仿宋" w:cs="仿宋"/>
                <w:sz w:val="24"/>
                <w:szCs w:val="24"/>
              </w:rPr>
              <w:t>的维持担保比例由乙方通过其网站、营业场所、行情与交易系统软件等任何一种或几种方式进行公告，如乙方调整</w:t>
            </w:r>
            <w:r>
              <w:rPr>
                <w:rFonts w:hint="eastAsia" w:ascii="仿宋" w:hAnsi="仿宋" w:eastAsia="仿宋" w:cs="仿宋"/>
                <w:b/>
                <w:bCs/>
                <w:sz w:val="24"/>
                <w:szCs w:val="24"/>
                <w:lang w:val="en-US" w:eastAsia="zh-CN"/>
              </w:rPr>
              <w:t>追保线</w:t>
            </w:r>
            <w:r>
              <w:rPr>
                <w:rFonts w:hint="eastAsia" w:ascii="仿宋" w:hAnsi="仿宋" w:eastAsia="仿宋" w:cs="仿宋"/>
                <w:sz w:val="24"/>
                <w:szCs w:val="24"/>
              </w:rPr>
              <w:t>的维持担保比例的，可以通过上述一种或几种方式进行公告。</w:t>
            </w:r>
          </w:p>
          <w:p>
            <w:pPr>
              <w:tabs>
                <w:tab w:val="left" w:pos="0"/>
                <w:tab w:val="left" w:pos="180"/>
              </w:tabs>
              <w:spacing w:line="400" w:lineRule="exact"/>
              <w:ind w:right="25" w:rightChars="12" w:firstLine="482" w:firstLineChars="200"/>
              <w:rPr>
                <w:rFonts w:hint="eastAsia" w:ascii="仿宋" w:hAnsi="仿宋" w:eastAsia="仿宋" w:cs="仿宋"/>
                <w:sz w:val="24"/>
                <w:szCs w:val="24"/>
              </w:rPr>
            </w:pPr>
            <w:r>
              <w:rPr>
                <w:rFonts w:hint="eastAsia" w:ascii="仿宋" w:hAnsi="仿宋" w:eastAsia="仿宋" w:cs="仿宋"/>
                <w:b/>
                <w:sz w:val="24"/>
                <w:szCs w:val="24"/>
              </w:rPr>
              <w:t>……</w:t>
            </w:r>
          </w:p>
          <w:p>
            <w:pPr>
              <w:tabs>
                <w:tab w:val="left" w:pos="0"/>
                <w:tab w:val="left" w:pos="180"/>
              </w:tabs>
              <w:spacing w:line="400" w:lineRule="exact"/>
              <w:ind w:right="25" w:rightChars="12" w:firstLine="480" w:firstLineChars="200"/>
              <w:rPr>
                <w:rFonts w:hint="eastAsia" w:ascii="仿宋" w:hAnsi="仿宋" w:eastAsia="仿宋" w:cs="仿宋"/>
                <w:b/>
                <w:bCs/>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三十四</w:t>
            </w:r>
            <w:r>
              <w:rPr>
                <w:rFonts w:hint="eastAsia" w:ascii="仿宋" w:hAnsi="仿宋" w:eastAsia="仿宋" w:cs="仿宋"/>
                <w:sz w:val="24"/>
                <w:szCs w:val="24"/>
                <w:lang w:eastAsia="zh-CN"/>
              </w:rPr>
              <w:t>）提保线：甲方信用账户维持担保比例高于规定数值时，甲方可以提取保证金可用余额中的现金或充抵保证金的证券，提取后甲方信用账户仅计算现金及证券市值总和的维持担保比例不得低于该数值，这一数值称为提保线。提保线的维持担保比例为300%，如乙方调整提保线的维持担保比例的，可以通过其网站、营业场所、行情与交易系统软件等任何一种或几种方式进行公告。</w:t>
            </w:r>
            <w:r>
              <w:rPr>
                <w:rFonts w:hint="eastAsia" w:ascii="仿宋" w:hAnsi="仿宋" w:eastAsia="仿宋" w:cs="仿宋"/>
                <w:b/>
                <w:bCs/>
                <w:sz w:val="24"/>
                <w:szCs w:val="24"/>
                <w:lang w:eastAsia="zh-CN"/>
              </w:rPr>
              <w:t>若甲方提取的证券中部分属于融资买入的证券，则在满足提保线要求的前提下，该证券仅超过融资买入数量的部分可以提取。</w:t>
            </w:r>
          </w:p>
          <w:p>
            <w:pPr>
              <w:tabs>
                <w:tab w:val="left" w:pos="0"/>
                <w:tab w:val="left" w:pos="180"/>
              </w:tabs>
              <w:spacing w:line="400" w:lineRule="exact"/>
              <w:ind w:right="25" w:rightChars="12" w:firstLine="482" w:firstLineChars="200"/>
              <w:rPr>
                <w:rFonts w:hint="eastAsia" w:ascii="仿宋" w:hAnsi="仿宋" w:eastAsia="仿宋" w:cs="仿宋"/>
                <w:sz w:val="24"/>
                <w:szCs w:val="24"/>
                <w:lang w:eastAsia="zh-CN"/>
              </w:rPr>
            </w:pPr>
            <w:r>
              <w:rPr>
                <w:rFonts w:hint="eastAsia" w:ascii="仿宋" w:hAnsi="仿宋" w:eastAsia="仿宋" w:cs="仿宋"/>
                <w:b/>
                <w:color w:val="000000" w:themeColor="text1"/>
                <w:sz w:val="24"/>
                <w:szCs w:val="24"/>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numPr>
                <w:ilvl w:val="0"/>
                <w:numId w:val="1"/>
              </w:numPr>
              <w:tabs>
                <w:tab w:val="left" w:pos="0"/>
                <w:tab w:val="left" w:pos="180"/>
              </w:tabs>
              <w:spacing w:line="400" w:lineRule="exact"/>
              <w:ind w:right="25" w:rightChars="12" w:firstLine="482" w:firstLineChars="200"/>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双方声明与保证</w:t>
            </w:r>
          </w:p>
          <w:p>
            <w:pPr>
              <w:numPr>
                <w:ilvl w:val="0"/>
                <w:numId w:val="2"/>
              </w:numPr>
              <w:tabs>
                <w:tab w:val="left" w:pos="0"/>
                <w:tab w:val="left" w:pos="180"/>
              </w:tabs>
              <w:spacing w:line="400" w:lineRule="exact"/>
              <w:ind w:right="25" w:rightChars="12"/>
              <w:rPr>
                <w:rFonts w:hint="eastAsia" w:ascii="仿宋" w:hAnsi="仿宋" w:eastAsia="仿宋" w:cs="仿宋"/>
                <w:sz w:val="24"/>
                <w:szCs w:val="24"/>
              </w:rPr>
            </w:pPr>
            <w:r>
              <w:rPr>
                <w:rFonts w:hint="eastAsia" w:ascii="仿宋" w:hAnsi="仿宋" w:eastAsia="仿宋" w:cs="仿宋"/>
                <w:sz w:val="24"/>
                <w:szCs w:val="24"/>
              </w:rPr>
              <w:t>甲方向乙方作如下声明与保证：</w:t>
            </w:r>
          </w:p>
          <w:p>
            <w:pPr>
              <w:tabs>
                <w:tab w:val="left" w:pos="0"/>
                <w:tab w:val="left" w:pos="180"/>
              </w:tabs>
              <w:spacing w:line="400" w:lineRule="exact"/>
              <w:ind w:right="25" w:rightChars="12" w:firstLine="492" w:firstLineChars="204"/>
              <w:rPr>
                <w:rFonts w:hint="eastAsia" w:ascii="仿宋" w:hAnsi="仿宋" w:eastAsia="仿宋" w:cs="仿宋"/>
                <w:sz w:val="24"/>
                <w:szCs w:val="24"/>
                <w:lang w:val="en-US" w:eastAsia="zh-CN"/>
              </w:rPr>
            </w:pPr>
            <w:r>
              <w:rPr>
                <w:rFonts w:hint="eastAsia" w:ascii="仿宋" w:hAnsi="仿宋" w:eastAsia="仿宋" w:cs="仿宋"/>
                <w:b/>
                <w:color w:val="000000" w:themeColor="text1"/>
                <w:sz w:val="24"/>
                <w:szCs w:val="24"/>
                <w:lang w:val="en-US" w:eastAsia="zh-CN"/>
                <w14:textFill>
                  <w14:solidFill>
                    <w14:schemeClr w14:val="tx1"/>
                  </w14:solidFill>
                </w14:textFill>
              </w:rPr>
              <w:t>……</w:t>
            </w:r>
          </w:p>
          <w:p>
            <w:pPr>
              <w:tabs>
                <w:tab w:val="left" w:pos="0"/>
                <w:tab w:val="left" w:pos="180"/>
              </w:tabs>
              <w:spacing w:line="400" w:lineRule="exact"/>
              <w:ind w:right="25" w:rightChars="12" w:firstLine="489" w:firstLineChars="204"/>
              <w:rPr>
                <w:rFonts w:hint="eastAsia" w:ascii="仿宋" w:hAnsi="仿宋" w:eastAsia="仿宋" w:cs="仿宋"/>
                <w:b/>
                <w:sz w:val="24"/>
                <w:szCs w:val="24"/>
              </w:rPr>
            </w:pPr>
            <w:r>
              <w:rPr>
                <w:rFonts w:hint="eastAsia" w:ascii="仿宋" w:hAnsi="仿宋" w:eastAsia="仿宋" w:cs="仿宋"/>
                <w:sz w:val="24"/>
                <w:szCs w:val="24"/>
                <w:lang w:val="en-US" w:eastAsia="zh-CN"/>
              </w:rPr>
              <w:t>8、甲方承诺在与乙方签订本合同时及本合同有效期内，向乙方如实申报其账户和关联人持有的全部证券账户；在甲方融券期间，甲方或其关联人卖出与所融入证券相同的证券的，甲方承诺在该事实发生之日起三个交易日内向乙方申报。</w:t>
            </w:r>
          </w:p>
        </w:tc>
        <w:tc>
          <w:tcPr>
            <w:tcW w:w="4148" w:type="dxa"/>
          </w:tcPr>
          <w:p>
            <w:pPr>
              <w:numPr>
                <w:numId w:val="0"/>
              </w:numPr>
              <w:tabs>
                <w:tab w:val="left" w:pos="0"/>
                <w:tab w:val="left" w:pos="180"/>
              </w:tabs>
              <w:spacing w:line="400" w:lineRule="exact"/>
              <w:ind w:right="25" w:rightChars="12" w:firstLine="482" w:firstLineChars="200"/>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第二条 双方声明与保证</w:t>
            </w:r>
          </w:p>
          <w:p>
            <w:pPr>
              <w:numPr>
                <w:numId w:val="0"/>
              </w:num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甲方向乙方作如下声明与保证：</w:t>
            </w:r>
          </w:p>
          <w:p>
            <w:pPr>
              <w:numPr>
                <w:ilvl w:val="0"/>
                <w:numId w:val="0"/>
              </w:numPr>
              <w:tabs>
                <w:tab w:val="left" w:pos="0"/>
                <w:tab w:val="left" w:pos="180"/>
              </w:tabs>
              <w:spacing w:line="400" w:lineRule="exact"/>
              <w:ind w:right="25" w:rightChars="12"/>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w:t>
            </w:r>
          </w:p>
          <w:p>
            <w:pPr>
              <w:numPr>
                <w:ilvl w:val="0"/>
                <w:numId w:val="0"/>
              </w:numPr>
              <w:tabs>
                <w:tab w:val="left" w:pos="0"/>
                <w:tab w:val="left" w:pos="180"/>
              </w:tabs>
              <w:spacing w:line="400" w:lineRule="exact"/>
              <w:ind w:right="25" w:rightChars="12" w:firstLine="480" w:firstLineChars="200"/>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sz w:val="24"/>
                <w:szCs w:val="24"/>
                <w:lang w:val="en-US" w:eastAsia="zh-CN"/>
              </w:rPr>
              <w:t>8、甲方承诺在与乙方签订本合同时及本合同有效期内，向乙方如实申报其账户和关联人持有的全部证券账户；在甲方融券期间，甲方或其关联人卖出与所融入证券相同的证券的，甲方承诺在该事实发生之日起三个交易日内向乙方申报。</w:t>
            </w:r>
            <w:r>
              <w:rPr>
                <w:rFonts w:hint="eastAsia" w:ascii="仿宋" w:hAnsi="仿宋" w:eastAsia="仿宋" w:cs="仿宋"/>
                <w:b/>
                <w:bCs/>
                <w:sz w:val="24"/>
                <w:szCs w:val="24"/>
                <w:lang w:val="en-US" w:eastAsia="zh-CN"/>
              </w:rPr>
              <w:t>甲方承诺其参与融券交易时自身身份、提交的担保证券以及交易的标的证券等符合证监会、证券交易所、证券登记结算机构及乙方的要求。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tabs>
                <w:tab w:val="left" w:pos="0"/>
                <w:tab w:val="left" w:pos="180"/>
                <w:tab w:val="left" w:pos="600"/>
              </w:tabs>
              <w:spacing w:line="400" w:lineRule="exact"/>
              <w:ind w:right="25" w:rightChars="12" w:firstLine="492" w:firstLineChars="204"/>
              <w:rPr>
                <w:rFonts w:hint="eastAsia" w:ascii="仿宋" w:hAnsi="仿宋" w:eastAsia="仿宋" w:cs="仿宋"/>
                <w:b/>
                <w:sz w:val="24"/>
                <w:szCs w:val="24"/>
              </w:rPr>
            </w:pPr>
            <w:r>
              <w:rPr>
                <w:rFonts w:hint="eastAsia" w:ascii="仿宋" w:hAnsi="仿宋" w:eastAsia="仿宋" w:cs="仿宋"/>
                <w:b/>
                <w:sz w:val="24"/>
                <w:szCs w:val="24"/>
              </w:rPr>
              <w:t>第三条 双方权利与义务</w:t>
            </w:r>
          </w:p>
          <w:p>
            <w:pPr>
              <w:spacing w:line="400" w:lineRule="exact"/>
              <w:ind w:firstLine="482" w:firstLineChars="200"/>
              <w:rPr>
                <w:rFonts w:hint="eastAsia" w:ascii="仿宋" w:hAnsi="仿宋" w:eastAsia="仿宋" w:cs="仿宋"/>
                <w:sz w:val="24"/>
                <w:szCs w:val="24"/>
              </w:rPr>
            </w:pPr>
            <w:r>
              <w:rPr>
                <w:rFonts w:hint="eastAsia" w:ascii="仿宋" w:hAnsi="仿宋" w:eastAsia="仿宋" w:cs="仿宋"/>
                <w:b/>
                <w:color w:val="000000" w:themeColor="text1"/>
                <w:sz w:val="24"/>
                <w:szCs w:val="24"/>
                <w:lang w:val="en-US" w:eastAsia="zh-CN"/>
                <w14:textFill>
                  <w14:solidFill>
                    <w14:schemeClr w14:val="tx1"/>
                  </w14:solidFill>
                </w14:textFill>
              </w:rPr>
              <w:t xml:space="preserve"> ……</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（二）甲方的义务</w:t>
            </w:r>
          </w:p>
          <w:p>
            <w:pPr>
              <w:ind w:firstLine="482" w:firstLineChars="200"/>
              <w:jc w:val="both"/>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p>
            <w:pPr>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8、甲方应随时关注其信用账户维持担保比例变化情况，并保证本合同下约定的通讯方式畅通，甲方应随时关注乙方于其网站发布的确定及调整标的证券范围、可充抵保证金证券范围及折算率、融资（融券）保证金比例、维持担保比例（包括警戒线、平仓线、紧急平仓线）、追保期限及信用账户持仓集中度限制的公告。</w:t>
            </w:r>
          </w:p>
          <w:p>
            <w:pPr>
              <w:ind w:firstLine="482" w:firstLineChars="200"/>
              <w:jc w:val="both"/>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tc>
        <w:tc>
          <w:tcPr>
            <w:tcW w:w="4148" w:type="dxa"/>
          </w:tcPr>
          <w:p>
            <w:pPr>
              <w:tabs>
                <w:tab w:val="left" w:pos="0"/>
                <w:tab w:val="left" w:pos="180"/>
                <w:tab w:val="left" w:pos="600"/>
              </w:tabs>
              <w:spacing w:line="400" w:lineRule="exact"/>
              <w:ind w:right="25" w:rightChars="12" w:firstLine="492" w:firstLineChars="204"/>
              <w:rPr>
                <w:rFonts w:hint="eastAsia" w:ascii="仿宋" w:hAnsi="仿宋" w:eastAsia="仿宋" w:cs="仿宋"/>
                <w:b/>
                <w:sz w:val="24"/>
                <w:szCs w:val="24"/>
              </w:rPr>
            </w:pPr>
            <w:r>
              <w:rPr>
                <w:rFonts w:hint="eastAsia" w:ascii="仿宋" w:hAnsi="仿宋" w:eastAsia="仿宋" w:cs="仿宋"/>
                <w:b/>
                <w:sz w:val="24"/>
                <w:szCs w:val="24"/>
              </w:rPr>
              <w:t>第三条 双方权利与义务</w:t>
            </w:r>
          </w:p>
          <w:p>
            <w:pPr>
              <w:spacing w:line="400" w:lineRule="exact"/>
              <w:ind w:firstLine="482" w:firstLineChars="200"/>
              <w:rPr>
                <w:rFonts w:hint="eastAsia" w:ascii="仿宋" w:hAnsi="仿宋" w:eastAsia="仿宋" w:cs="仿宋"/>
                <w:sz w:val="24"/>
                <w:szCs w:val="24"/>
              </w:rPr>
            </w:pPr>
            <w:r>
              <w:rPr>
                <w:rFonts w:hint="eastAsia" w:ascii="仿宋" w:hAnsi="仿宋" w:eastAsia="仿宋" w:cs="仿宋"/>
                <w:b/>
                <w:color w:val="000000" w:themeColor="text1"/>
                <w:sz w:val="24"/>
                <w:szCs w:val="24"/>
                <w:lang w:val="en-US" w:eastAsia="zh-CN"/>
                <w14:textFill>
                  <w14:solidFill>
                    <w14:schemeClr w14:val="tx1"/>
                  </w14:solidFill>
                </w14:textFill>
              </w:rPr>
              <w:t xml:space="preserve"> ……</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（二）甲方的义务</w:t>
            </w:r>
          </w:p>
          <w:p>
            <w:pPr>
              <w:ind w:firstLine="482" w:firstLineChars="200"/>
              <w:jc w:val="both"/>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p>
            <w:pPr>
              <w:numPr>
                <w:ilvl w:val="0"/>
                <w:numId w:val="3"/>
              </w:numPr>
              <w:spacing w:line="400" w:lineRule="exact"/>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甲方应随时关注其信用账户维持担保比例变化情况，并保证本合同下约定的通讯方式畅通，甲方应随时关注乙方于其网站发布的确定及调整标的证券范围、可充抵保证金证券范围及折算率、融资（融券）保证金比例、维持担保比例（包括警戒线、</w:t>
            </w:r>
            <w:r>
              <w:rPr>
                <w:rFonts w:hint="eastAsia" w:ascii="仿宋" w:hAnsi="仿宋" w:eastAsia="仿宋" w:cs="仿宋"/>
                <w:b/>
                <w:bCs w:val="0"/>
                <w:sz w:val="24"/>
                <w:szCs w:val="24"/>
                <w:lang w:val="en-US" w:eastAsia="zh-CN"/>
              </w:rPr>
              <w:t>追保线</w:t>
            </w:r>
            <w:r>
              <w:rPr>
                <w:rFonts w:hint="eastAsia" w:ascii="仿宋" w:hAnsi="仿宋" w:eastAsia="仿宋" w:cs="仿宋"/>
                <w:b w:val="0"/>
                <w:bCs/>
                <w:sz w:val="24"/>
                <w:szCs w:val="24"/>
              </w:rPr>
              <w:t>、紧急平仓线）、追保期限及信用账户持仓集中度限制的公告。</w:t>
            </w:r>
          </w:p>
          <w:p>
            <w:pPr>
              <w:ind w:firstLine="482" w:firstLineChars="200"/>
              <w:jc w:val="both"/>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tabs>
                <w:tab w:val="left" w:pos="0"/>
                <w:tab w:val="left" w:pos="180"/>
              </w:tabs>
              <w:spacing w:line="400" w:lineRule="exact"/>
              <w:ind w:right="25" w:rightChars="12" w:firstLine="472" w:firstLineChars="196"/>
              <w:rPr>
                <w:rFonts w:hint="eastAsia" w:ascii="仿宋" w:hAnsi="仿宋" w:eastAsia="仿宋" w:cs="仿宋"/>
                <w:b/>
                <w:sz w:val="24"/>
                <w:szCs w:val="24"/>
              </w:rPr>
            </w:pPr>
            <w:r>
              <w:rPr>
                <w:rFonts w:hint="eastAsia" w:ascii="仿宋" w:hAnsi="仿宋" w:eastAsia="仿宋" w:cs="仿宋"/>
                <w:b/>
                <w:sz w:val="24"/>
                <w:szCs w:val="24"/>
              </w:rPr>
              <w:t>第六条 保证金、保证金比例、保证金可用余额、担保物、可充抵保证金证券范围和折算率、标的证券范围</w:t>
            </w:r>
          </w:p>
          <w:p>
            <w:pPr>
              <w:tabs>
                <w:tab w:val="left" w:pos="0"/>
                <w:tab w:val="left" w:pos="180"/>
              </w:tabs>
              <w:spacing w:line="400" w:lineRule="exact"/>
              <w:ind w:right="25" w:rightChars="12" w:firstLine="482" w:firstLineChars="200"/>
              <w:outlineLvl w:val="0"/>
              <w:rPr>
                <w:rFonts w:hint="eastAsia" w:ascii="仿宋" w:hAnsi="仿宋" w:eastAsia="仿宋" w:cs="仿宋"/>
                <w:sz w:val="24"/>
                <w:szCs w:val="24"/>
              </w:rPr>
            </w:pPr>
            <w:r>
              <w:rPr>
                <w:rFonts w:hint="eastAsia" w:ascii="仿宋" w:hAnsi="仿宋" w:eastAsia="仿宋" w:cs="仿宋"/>
                <w:b/>
                <w:color w:val="000000" w:themeColor="text1"/>
                <w:sz w:val="24"/>
                <w:szCs w:val="24"/>
                <w:lang w:val="en-US" w:eastAsia="zh-CN"/>
                <w14:textFill>
                  <w14:solidFill>
                    <w14:schemeClr w14:val="tx1"/>
                  </w14:solidFill>
                </w14:textFill>
              </w:rPr>
              <w:t xml:space="preserve"> ……</w:t>
            </w:r>
          </w:p>
          <w:p>
            <w:pPr>
              <w:numPr>
                <w:ilvl w:val="0"/>
                <w:numId w:val="4"/>
              </w:numPr>
              <w:jc w:val="center"/>
              <w:rPr>
                <w:rFonts w:hint="eastAsia" w:ascii="仿宋" w:hAnsi="仿宋" w:eastAsia="仿宋" w:cs="仿宋"/>
                <w:sz w:val="24"/>
                <w:szCs w:val="24"/>
              </w:rPr>
            </w:pPr>
            <w:r>
              <w:rPr>
                <w:rFonts w:hint="eastAsia" w:ascii="仿宋" w:hAnsi="仿宋" w:eastAsia="仿宋" w:cs="仿宋"/>
                <w:sz w:val="24"/>
                <w:szCs w:val="24"/>
              </w:rPr>
              <w:t>担保物、其他担保物</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1、甲方可提交保证金、融资买入的全部证券和融券卖出所得的全部资金及上述资金、证券所产生的孳息以及经乙方认可的其他担保物，整体作为担保物，担保乙方对甲方的融资融券债权。</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2、甲方担保物价值降低导致甲方信用账户的维持担保比例低于平仓线时，乙方将按本合同约定的方式通知甲方，甲方应在本合同约定的期限内追加担保物，使维持担保比例恢复至警戒线及以上，否则乙方将实行强制平仓。</w:t>
            </w:r>
          </w:p>
          <w:p>
            <w:pPr>
              <w:numPr>
                <w:ilvl w:val="0"/>
                <w:numId w:val="0"/>
              </w:numPr>
              <w:ind w:firstLine="481"/>
              <w:jc w:val="both"/>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当甲方信用账户仅计算现金及证券市值总和的维持担保比例超过提保线时，甲方可按照交易所规定和本合同约定解除其他担保物的担保或提取担保物。解除其他担保物的担保或提取担保物后，甲方信用账户仅计算现金及证券市值总和的维持担保比例不得低于提保线。</w:t>
            </w:r>
          </w:p>
          <w:p>
            <w:pPr>
              <w:numPr>
                <w:ilvl w:val="0"/>
                <w:numId w:val="0"/>
              </w:numPr>
              <w:ind w:firstLine="481"/>
              <w:jc w:val="both"/>
              <w:rPr>
                <w:rFonts w:hint="eastAsia" w:ascii="仿宋" w:hAnsi="仿宋" w:eastAsia="仿宋" w:cs="仿宋"/>
                <w:sz w:val="24"/>
                <w:szCs w:val="24"/>
                <w:lang w:val="en-US" w:eastAsia="zh-CN"/>
              </w:rPr>
            </w:pPr>
            <w:r>
              <w:rPr>
                <w:rFonts w:hint="eastAsia" w:ascii="仿宋" w:hAnsi="仿宋" w:eastAsia="仿宋" w:cs="仿宋"/>
                <w:b/>
                <w:color w:val="000000" w:themeColor="text1"/>
                <w:sz w:val="24"/>
                <w:szCs w:val="24"/>
                <w:lang w:val="en-US" w:eastAsia="zh-CN"/>
                <w14:textFill>
                  <w14:solidFill>
                    <w14:schemeClr w14:val="tx1"/>
                  </w14:solidFill>
                </w14:textFill>
              </w:rPr>
              <w:t xml:space="preserve">    ……</w:t>
            </w:r>
          </w:p>
        </w:tc>
        <w:tc>
          <w:tcPr>
            <w:tcW w:w="4148" w:type="dxa"/>
          </w:tcPr>
          <w:p>
            <w:pPr>
              <w:tabs>
                <w:tab w:val="left" w:pos="0"/>
                <w:tab w:val="left" w:pos="180"/>
              </w:tabs>
              <w:spacing w:line="400" w:lineRule="exact"/>
              <w:ind w:right="25" w:rightChars="12" w:firstLine="472" w:firstLineChars="196"/>
              <w:rPr>
                <w:rFonts w:hint="eastAsia" w:ascii="仿宋" w:hAnsi="仿宋" w:eastAsia="仿宋" w:cs="仿宋"/>
                <w:b/>
                <w:sz w:val="24"/>
                <w:szCs w:val="24"/>
              </w:rPr>
            </w:pPr>
            <w:r>
              <w:rPr>
                <w:rFonts w:hint="eastAsia" w:ascii="仿宋" w:hAnsi="仿宋" w:eastAsia="仿宋" w:cs="仿宋"/>
                <w:b/>
                <w:sz w:val="24"/>
                <w:szCs w:val="24"/>
              </w:rPr>
              <w:t>第六条 保证金、保证金比例、保证金可用余额、担保物、可充抵保证金证券范围和折算率、标的证券范围</w:t>
            </w:r>
          </w:p>
          <w:p>
            <w:pPr>
              <w:tabs>
                <w:tab w:val="left" w:pos="0"/>
                <w:tab w:val="left" w:pos="180"/>
              </w:tabs>
              <w:spacing w:line="400" w:lineRule="exact"/>
              <w:ind w:right="25" w:rightChars="12" w:firstLine="482" w:firstLineChars="200"/>
              <w:outlineLvl w:val="0"/>
              <w:rPr>
                <w:rFonts w:hint="eastAsia" w:ascii="仿宋" w:hAnsi="仿宋" w:eastAsia="仿宋" w:cs="仿宋"/>
                <w:sz w:val="24"/>
                <w:szCs w:val="24"/>
              </w:rPr>
            </w:pPr>
            <w:r>
              <w:rPr>
                <w:rFonts w:hint="eastAsia" w:ascii="仿宋" w:hAnsi="仿宋" w:eastAsia="仿宋" w:cs="仿宋"/>
                <w:b/>
                <w:color w:val="000000" w:themeColor="text1"/>
                <w:sz w:val="24"/>
                <w:szCs w:val="24"/>
                <w:lang w:val="en-US" w:eastAsia="zh-CN"/>
                <w14:textFill>
                  <w14:solidFill>
                    <w14:schemeClr w14:val="tx1"/>
                  </w14:solidFill>
                </w14:textFill>
              </w:rPr>
              <w:t xml:space="preserve"> ……</w:t>
            </w:r>
          </w:p>
          <w:p>
            <w:pPr>
              <w:tabs>
                <w:tab w:val="left" w:pos="0"/>
                <w:tab w:val="left" w:pos="180"/>
              </w:tabs>
              <w:spacing w:line="400" w:lineRule="exact"/>
              <w:ind w:right="25" w:rightChars="12" w:firstLine="480" w:firstLineChars="200"/>
              <w:outlineLvl w:val="0"/>
              <w:rPr>
                <w:rFonts w:hint="eastAsia" w:ascii="仿宋" w:hAnsi="仿宋" w:eastAsia="仿宋" w:cs="仿宋"/>
                <w:sz w:val="24"/>
                <w:szCs w:val="24"/>
              </w:rPr>
            </w:pPr>
            <w:r>
              <w:rPr>
                <w:rFonts w:hint="eastAsia" w:ascii="仿宋" w:hAnsi="仿宋" w:eastAsia="仿宋" w:cs="仿宋"/>
                <w:sz w:val="24"/>
                <w:szCs w:val="24"/>
              </w:rPr>
              <w:t>（二）担保物、其他担保物</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1、甲方可提交保证金、融资买入的全部证券和融券卖出所得的全部资金及上述资金、证券所产生的孳息以及经乙方认可的其他担保物，整体作为担保物，担保乙方对甲方的融资融券债权。</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2、甲方担保物价值降低导致甲方信用账户的维持担保比例低于</w:t>
            </w:r>
            <w:r>
              <w:rPr>
                <w:rFonts w:hint="eastAsia" w:ascii="仿宋" w:hAnsi="仿宋" w:eastAsia="仿宋" w:cs="仿宋"/>
                <w:b/>
                <w:bCs/>
                <w:sz w:val="24"/>
                <w:szCs w:val="24"/>
                <w:lang w:val="en-US" w:eastAsia="zh-CN"/>
              </w:rPr>
              <w:t>追保线</w:t>
            </w:r>
            <w:r>
              <w:rPr>
                <w:rFonts w:hint="eastAsia" w:ascii="仿宋" w:hAnsi="仿宋" w:eastAsia="仿宋" w:cs="仿宋"/>
                <w:sz w:val="24"/>
                <w:szCs w:val="24"/>
              </w:rPr>
              <w:t>时，乙方将按本合同约定的方式通知甲方，甲方应在本合同约定的期限内追加担保物，使维持担保比例恢复至</w:t>
            </w:r>
            <w:r>
              <w:rPr>
                <w:rFonts w:hint="eastAsia" w:ascii="仿宋" w:hAnsi="仿宋" w:eastAsia="仿宋" w:cs="仿宋"/>
                <w:sz w:val="24"/>
                <w:szCs w:val="24"/>
                <w:lang w:val="en-US"/>
              </w:rPr>
              <w:t>警戒线</w:t>
            </w:r>
            <w:r>
              <w:rPr>
                <w:rFonts w:hint="eastAsia" w:ascii="仿宋" w:hAnsi="仿宋" w:eastAsia="仿宋" w:cs="仿宋"/>
                <w:sz w:val="24"/>
                <w:szCs w:val="24"/>
              </w:rPr>
              <w:t>及以上，否则乙方将实行强制平仓。</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3、当甲方信用账户仅计算现金及证券市值总和的维持担保比例超过提保线时，甲方可按照交易所规定和本合同约定解除其他担保物的担保或提取担保物。解除其他担保物的担保或提取担保物后，甲方信用账户仅计算现金及证券市值总和的维持担保比例不得低于提保线。</w:t>
            </w:r>
            <w:r>
              <w:rPr>
                <w:rFonts w:hint="eastAsia" w:ascii="仿宋" w:hAnsi="仿宋" w:eastAsia="仿宋" w:cs="仿宋"/>
                <w:b/>
                <w:bCs/>
                <w:sz w:val="24"/>
                <w:szCs w:val="24"/>
              </w:rPr>
              <w:t>若甲方提取的证券有部分属于融资买入的证券，则在满足提保线要求的前提下，该证券仅超过融资买入数量的部分可以提取。</w:t>
            </w:r>
          </w:p>
          <w:p>
            <w:pPr>
              <w:jc w:val="both"/>
              <w:rPr>
                <w:rFonts w:hint="eastAsia" w:ascii="仿宋" w:hAnsi="仿宋" w:eastAsia="仿宋" w:cs="仿宋"/>
                <w:b/>
                <w:color w:val="000000" w:themeColor="text1"/>
                <w:sz w:val="24"/>
                <w:szCs w:val="24"/>
                <w:lang w:val="en-US" w:eastAsia="zh-CN"/>
                <w14:textFill>
                  <w14:solidFill>
                    <w14:schemeClr w14:val="tx1"/>
                  </w14:solidFill>
                </w14:textFill>
              </w:rPr>
            </w:pPr>
            <w:r>
              <w:rPr>
                <w:rFonts w:hint="eastAsia" w:ascii="仿宋" w:hAnsi="仿宋" w:eastAsia="仿宋" w:cs="仿宋"/>
                <w:b/>
                <w:color w:val="000000" w:themeColor="text1"/>
                <w:sz w:val="24"/>
                <w:szCs w:val="24"/>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tabs>
                <w:tab w:val="left" w:pos="0"/>
                <w:tab w:val="left" w:pos="180"/>
                <w:tab w:val="left" w:pos="600"/>
              </w:tabs>
              <w:spacing w:line="400" w:lineRule="exact"/>
              <w:ind w:right="25" w:rightChars="12" w:firstLine="492" w:firstLineChars="204"/>
              <w:rPr>
                <w:rFonts w:hint="eastAsia" w:ascii="仿宋" w:hAnsi="仿宋" w:eastAsia="仿宋" w:cs="仿宋"/>
                <w:b/>
                <w:sz w:val="24"/>
                <w:szCs w:val="24"/>
              </w:rPr>
            </w:pPr>
            <w:r>
              <w:rPr>
                <w:rFonts w:hint="eastAsia" w:ascii="仿宋" w:hAnsi="仿宋" w:eastAsia="仿宋" w:cs="仿宋"/>
                <w:b/>
                <w:sz w:val="24"/>
                <w:szCs w:val="24"/>
              </w:rPr>
              <w:t>第九条 维持担保比例、补足担保物</w:t>
            </w:r>
          </w:p>
          <w:p>
            <w:pPr>
              <w:tabs>
                <w:tab w:val="left" w:pos="720"/>
              </w:tabs>
              <w:spacing w:line="400" w:lineRule="exact"/>
              <w:ind w:left="1" w:firstLine="482" w:firstLineChars="200"/>
              <w:rPr>
                <w:rFonts w:hint="eastAsia" w:ascii="仿宋" w:hAnsi="仿宋" w:eastAsia="仿宋" w:cs="仿宋"/>
                <w:sz w:val="24"/>
                <w:szCs w:val="24"/>
              </w:rPr>
            </w:pPr>
            <w:r>
              <w:rPr>
                <w:rFonts w:hint="eastAsia" w:ascii="仿宋" w:hAnsi="仿宋" w:eastAsia="仿宋" w:cs="仿宋"/>
                <w:b/>
                <w:color w:val="000000" w:themeColor="text1"/>
                <w:sz w:val="24"/>
                <w:szCs w:val="24"/>
                <w:lang w:val="en-US" w:eastAsia="zh-CN"/>
                <w14:textFill>
                  <w14:solidFill>
                    <w14:schemeClr w14:val="tx1"/>
                  </w14:solidFill>
                </w14:textFill>
              </w:rPr>
              <w:t xml:space="preserve"> ……</w:t>
            </w:r>
          </w:p>
          <w:p>
            <w:pPr>
              <w:numPr>
                <w:ilvl w:val="0"/>
                <w:numId w:val="4"/>
              </w:numPr>
              <w:tabs>
                <w:tab w:val="left" w:pos="720"/>
              </w:tabs>
              <w:spacing w:line="400" w:lineRule="exact"/>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补足担保物</w:t>
            </w:r>
          </w:p>
          <w:p>
            <w:pPr>
              <w:tabs>
                <w:tab w:val="left" w:pos="72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1、当日（T日）交易清算后，甲方维持担保比例低于平仓线的，乙方将以合同约定的方式通知甲方在本合同约定的期限内补足担保物。</w:t>
            </w:r>
          </w:p>
          <w:p>
            <w:pPr>
              <w:numPr>
                <w:ilvl w:val="0"/>
                <w:numId w:val="0"/>
              </w:numPr>
              <w:tabs>
                <w:tab w:val="left" w:pos="720"/>
              </w:tabs>
              <w:spacing w:line="400" w:lineRule="exact"/>
              <w:ind w:leftChars="0"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tc>
        <w:tc>
          <w:tcPr>
            <w:tcW w:w="4148" w:type="dxa"/>
          </w:tcPr>
          <w:p>
            <w:pPr>
              <w:tabs>
                <w:tab w:val="left" w:pos="0"/>
                <w:tab w:val="left" w:pos="180"/>
                <w:tab w:val="left" w:pos="600"/>
              </w:tabs>
              <w:spacing w:line="400" w:lineRule="exact"/>
              <w:ind w:right="25" w:rightChars="12" w:firstLine="492" w:firstLineChars="204"/>
              <w:rPr>
                <w:rFonts w:hint="eastAsia" w:ascii="仿宋" w:hAnsi="仿宋" w:eastAsia="仿宋" w:cs="仿宋"/>
                <w:b/>
                <w:sz w:val="24"/>
                <w:szCs w:val="24"/>
              </w:rPr>
            </w:pPr>
            <w:r>
              <w:rPr>
                <w:rFonts w:hint="eastAsia" w:ascii="仿宋" w:hAnsi="仿宋" w:eastAsia="仿宋" w:cs="仿宋"/>
                <w:b/>
                <w:sz w:val="24"/>
                <w:szCs w:val="24"/>
              </w:rPr>
              <w:t>第九条 维持担保比例、补足担保物</w:t>
            </w:r>
          </w:p>
          <w:p>
            <w:pPr>
              <w:tabs>
                <w:tab w:val="left" w:pos="720"/>
              </w:tabs>
              <w:spacing w:line="400" w:lineRule="exact"/>
              <w:ind w:left="1" w:firstLine="482" w:firstLineChars="200"/>
              <w:rPr>
                <w:rFonts w:hint="eastAsia" w:ascii="仿宋" w:hAnsi="仿宋" w:eastAsia="仿宋" w:cs="仿宋"/>
                <w:sz w:val="24"/>
                <w:szCs w:val="24"/>
              </w:rPr>
            </w:pPr>
            <w:r>
              <w:rPr>
                <w:rFonts w:hint="eastAsia" w:ascii="仿宋" w:hAnsi="仿宋" w:eastAsia="仿宋" w:cs="仿宋"/>
                <w:b/>
                <w:color w:val="000000" w:themeColor="text1"/>
                <w:sz w:val="24"/>
                <w:szCs w:val="24"/>
                <w:lang w:val="en-US" w:eastAsia="zh-CN"/>
                <w14:textFill>
                  <w14:solidFill>
                    <w14:schemeClr w14:val="tx1"/>
                  </w14:solidFill>
                </w14:textFill>
              </w:rPr>
              <w:t xml:space="preserve"> ……</w:t>
            </w:r>
          </w:p>
          <w:p>
            <w:pPr>
              <w:tabs>
                <w:tab w:val="left" w:pos="720"/>
              </w:tabs>
              <w:spacing w:line="400" w:lineRule="exact"/>
              <w:ind w:left="1" w:firstLine="480" w:firstLineChars="200"/>
              <w:rPr>
                <w:rFonts w:hint="eastAsia" w:ascii="仿宋" w:hAnsi="仿宋" w:eastAsia="仿宋" w:cs="仿宋"/>
                <w:sz w:val="24"/>
                <w:szCs w:val="24"/>
              </w:rPr>
            </w:pPr>
            <w:r>
              <w:rPr>
                <w:rFonts w:hint="eastAsia" w:ascii="仿宋" w:hAnsi="仿宋" w:eastAsia="仿宋" w:cs="仿宋"/>
                <w:sz w:val="24"/>
                <w:szCs w:val="24"/>
              </w:rPr>
              <w:t>（三）补足担保物</w:t>
            </w:r>
          </w:p>
          <w:p>
            <w:pPr>
              <w:tabs>
                <w:tab w:val="left" w:pos="72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1、当日（T日）交易清算后，甲方维持担保比例低于</w:t>
            </w:r>
            <w:r>
              <w:rPr>
                <w:rFonts w:hint="eastAsia" w:ascii="仿宋" w:hAnsi="仿宋" w:eastAsia="仿宋" w:cs="仿宋"/>
                <w:b/>
                <w:bCs/>
                <w:sz w:val="24"/>
                <w:szCs w:val="24"/>
                <w:lang w:val="en-US" w:eastAsia="zh-CN"/>
              </w:rPr>
              <w:t>追保线</w:t>
            </w:r>
            <w:r>
              <w:rPr>
                <w:rFonts w:hint="eastAsia" w:ascii="仿宋" w:hAnsi="仿宋" w:eastAsia="仿宋" w:cs="仿宋"/>
                <w:sz w:val="24"/>
                <w:szCs w:val="24"/>
              </w:rPr>
              <w:t>的，乙方将以合同约定的方式通知甲方在本合同约定的期限内补足担保物。</w:t>
            </w:r>
          </w:p>
          <w:p>
            <w:pPr>
              <w:ind w:firstLine="482" w:firstLineChars="200"/>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tabs>
                <w:tab w:val="left" w:pos="0"/>
                <w:tab w:val="left" w:pos="180"/>
              </w:tabs>
              <w:spacing w:line="400" w:lineRule="exact"/>
              <w:ind w:right="25" w:rightChars="12" w:firstLine="482" w:firstLineChars="200"/>
              <w:rPr>
                <w:rFonts w:hint="eastAsia" w:ascii="仿宋" w:hAnsi="仿宋" w:eastAsia="仿宋" w:cs="仿宋"/>
                <w:b/>
                <w:sz w:val="24"/>
                <w:szCs w:val="24"/>
                <w:highlight w:val="yellow"/>
              </w:rPr>
            </w:pPr>
            <w:r>
              <w:rPr>
                <w:rFonts w:hint="eastAsia" w:ascii="仿宋" w:hAnsi="仿宋" w:eastAsia="仿宋" w:cs="仿宋"/>
                <w:b/>
                <w:sz w:val="24"/>
                <w:szCs w:val="24"/>
              </w:rPr>
              <w:t>第十条 违约处置</w:t>
            </w:r>
          </w:p>
          <w:p>
            <w:pPr>
              <w:tabs>
                <w:tab w:val="left" w:pos="0"/>
                <w:tab w:val="left" w:pos="180"/>
              </w:tabs>
              <w:spacing w:line="400" w:lineRule="exact"/>
              <w:ind w:right="25" w:rightChars="12"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（一）当出现以下情形时，乙方有权实施强制平仓：</w:t>
            </w:r>
          </w:p>
          <w:p>
            <w:pPr>
              <w:tabs>
                <w:tab w:val="left" w:pos="0"/>
                <w:tab w:val="left" w:pos="180"/>
              </w:tabs>
              <w:spacing w:line="400" w:lineRule="exact"/>
              <w:ind w:right="25" w:rightChars="12"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1、甲方信用账户清算后维持担保比例低于平仓线，且未在规定时间内补足担保物。</w:t>
            </w:r>
          </w:p>
          <w:p>
            <w:pPr>
              <w:ind w:firstLine="482" w:firstLineChars="200"/>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tc>
        <w:tc>
          <w:tcPr>
            <w:tcW w:w="4148" w:type="dxa"/>
          </w:tcPr>
          <w:p>
            <w:pPr>
              <w:tabs>
                <w:tab w:val="left" w:pos="0"/>
                <w:tab w:val="left" w:pos="180"/>
              </w:tabs>
              <w:spacing w:line="400" w:lineRule="exact"/>
              <w:ind w:right="25" w:rightChars="12" w:firstLine="482" w:firstLineChars="200"/>
              <w:rPr>
                <w:rFonts w:hint="eastAsia" w:ascii="仿宋" w:hAnsi="仿宋" w:eastAsia="仿宋" w:cs="仿宋"/>
                <w:b/>
                <w:sz w:val="24"/>
                <w:szCs w:val="24"/>
                <w:highlight w:val="yellow"/>
              </w:rPr>
            </w:pPr>
            <w:r>
              <w:rPr>
                <w:rFonts w:hint="eastAsia" w:ascii="仿宋" w:hAnsi="仿宋" w:eastAsia="仿宋" w:cs="仿宋"/>
                <w:b/>
                <w:sz w:val="24"/>
                <w:szCs w:val="24"/>
              </w:rPr>
              <w:t>第十条 违约处置</w:t>
            </w:r>
          </w:p>
          <w:p>
            <w:pPr>
              <w:tabs>
                <w:tab w:val="left" w:pos="0"/>
                <w:tab w:val="left" w:pos="180"/>
              </w:tabs>
              <w:spacing w:line="400" w:lineRule="exact"/>
              <w:ind w:right="25" w:rightChars="12"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（一）当出现以下情形时，乙方有权实施强制平仓：</w:t>
            </w:r>
          </w:p>
          <w:p>
            <w:pPr>
              <w:tabs>
                <w:tab w:val="left" w:pos="0"/>
                <w:tab w:val="left" w:pos="180"/>
              </w:tabs>
              <w:spacing w:line="400" w:lineRule="exact"/>
              <w:ind w:right="25" w:rightChars="12"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1、甲方信用账户清算后维持担保比例低于</w:t>
            </w:r>
            <w:r>
              <w:rPr>
                <w:rFonts w:hint="eastAsia" w:ascii="仿宋" w:hAnsi="仿宋" w:eastAsia="仿宋" w:cs="仿宋"/>
                <w:b/>
                <w:bCs w:val="0"/>
                <w:sz w:val="24"/>
                <w:szCs w:val="24"/>
                <w:lang w:val="en-US" w:eastAsia="zh-CN"/>
              </w:rPr>
              <w:t>追保线</w:t>
            </w:r>
            <w:r>
              <w:rPr>
                <w:rFonts w:hint="eastAsia" w:ascii="仿宋" w:hAnsi="仿宋" w:eastAsia="仿宋" w:cs="仿宋"/>
                <w:b w:val="0"/>
                <w:bCs/>
                <w:sz w:val="24"/>
                <w:szCs w:val="24"/>
              </w:rPr>
              <w:t>，且未在规定时间内补足担保物。</w:t>
            </w:r>
          </w:p>
          <w:p>
            <w:pPr>
              <w:ind w:firstLine="482" w:firstLineChars="200"/>
              <w:jc w:val="both"/>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8" w:type="dxa"/>
          </w:tcPr>
          <w:p>
            <w:pPr>
              <w:tabs>
                <w:tab w:val="left" w:pos="0"/>
                <w:tab w:val="left" w:pos="180"/>
              </w:tabs>
              <w:spacing w:line="400" w:lineRule="exact"/>
              <w:ind w:right="25" w:rightChars="12" w:firstLine="492" w:firstLineChars="204"/>
              <w:rPr>
                <w:rFonts w:hint="eastAsia" w:ascii="仿宋" w:hAnsi="仿宋" w:eastAsia="仿宋" w:cs="仿宋"/>
                <w:b/>
                <w:sz w:val="24"/>
                <w:szCs w:val="24"/>
              </w:rPr>
            </w:pPr>
            <w:r>
              <w:rPr>
                <w:rFonts w:hint="eastAsia" w:ascii="仿宋" w:hAnsi="仿宋" w:eastAsia="仿宋" w:cs="仿宋"/>
                <w:b/>
                <w:sz w:val="24"/>
                <w:szCs w:val="24"/>
              </w:rPr>
              <w:t>第十四条 通知与送达</w:t>
            </w:r>
          </w:p>
          <w:p>
            <w:pPr>
              <w:tabs>
                <w:tab w:val="left" w:pos="0"/>
                <w:tab w:val="left" w:pos="180"/>
              </w:tabs>
              <w:spacing w:line="400" w:lineRule="exact"/>
              <w:ind w:right="25" w:rightChars="12" w:firstLine="482" w:firstLineChars="200"/>
              <w:rPr>
                <w:rFonts w:hint="eastAsia" w:ascii="仿宋" w:hAnsi="仿宋" w:eastAsia="仿宋" w:cs="仿宋"/>
                <w:sz w:val="24"/>
                <w:szCs w:val="24"/>
              </w:rPr>
            </w:pPr>
            <w:r>
              <w:rPr>
                <w:rFonts w:hint="eastAsia" w:ascii="仿宋" w:hAnsi="仿宋" w:eastAsia="仿宋" w:cs="仿宋"/>
                <w:b/>
                <w:color w:val="000000" w:themeColor="text1"/>
                <w:sz w:val="24"/>
                <w:szCs w:val="24"/>
                <w14:textFill>
                  <w14:solidFill>
                    <w14:schemeClr w14:val="tx1"/>
                  </w14:solidFill>
                </w14:textFill>
              </w:rPr>
              <w:t>……</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（六）通知时间</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1、审批业务通知：审批通过后通知甲方。</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2、维持担保比例预警通知：当日（T日）清算后维持担保比例低于警戒线，T日起通知甲方。</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3、融资融券负债到期预警通知：提前五个交易日通知甲方。</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4、须提前了结预警通知：如时间允许，提前五个交易日通知甲方。</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5、平仓通知：当日（T日）清算后维持担保比例低于平仓线，T日起通知甲方。</w:t>
            </w:r>
          </w:p>
          <w:p>
            <w:pPr>
              <w:ind w:firstLine="482" w:firstLineChars="200"/>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（七）乙方定期为甲方提供对账服务：</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乙方为甲方开通的第三方电子邮箱作为对账服务的主送达方式；甲方如需乙方提供纸质对账单，甲方本人（或机构授权代理人）携带有效证件到乙方开户营业场所柜台打印对账单；一般情况下，对账单为每月定期发送。甲方对上月对账单内容有异议的，须在每月十五日之前以书面形式向乙方开户营业场所办理质询，甲方逾期未办理质询或未对有异议的对账结果以书面方式向乙方开户营业场所办理质询的，视同甲方已确认该结果。</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乙方向甲方提供的对账单中，载明如下事项：</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1、甲方授信额度与剩余可用授信额度；</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2、甲方信用账户资产总值、负债总额、保证金可用余额与可提取金额、担保证券市值、维持担保比例；</w:t>
            </w:r>
          </w:p>
          <w:p>
            <w:pPr>
              <w:tabs>
                <w:tab w:val="left" w:pos="0"/>
                <w:tab w:val="left" w:pos="180"/>
              </w:tabs>
              <w:spacing w:line="400" w:lineRule="exact"/>
              <w:ind w:right="25" w:rightChars="12"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sz w:val="24"/>
                <w:szCs w:val="24"/>
              </w:rPr>
              <w:t>3、每笔融资利息与融券费用、偿还期限、融资买入与融券卖出的成交价格、数量、金额。</w:t>
            </w:r>
          </w:p>
        </w:tc>
        <w:tc>
          <w:tcPr>
            <w:tcW w:w="4148" w:type="dxa"/>
          </w:tcPr>
          <w:p>
            <w:pPr>
              <w:tabs>
                <w:tab w:val="left" w:pos="0"/>
                <w:tab w:val="left" w:pos="180"/>
              </w:tabs>
              <w:spacing w:line="400" w:lineRule="exact"/>
              <w:ind w:right="25" w:rightChars="12" w:firstLine="492" w:firstLineChars="204"/>
              <w:rPr>
                <w:rFonts w:hint="eastAsia" w:ascii="仿宋" w:hAnsi="仿宋" w:eastAsia="仿宋" w:cs="仿宋"/>
                <w:b/>
                <w:sz w:val="24"/>
                <w:szCs w:val="24"/>
              </w:rPr>
            </w:pPr>
            <w:r>
              <w:rPr>
                <w:rFonts w:hint="eastAsia" w:ascii="仿宋" w:hAnsi="仿宋" w:eastAsia="仿宋" w:cs="仿宋"/>
                <w:b/>
                <w:sz w:val="24"/>
                <w:szCs w:val="24"/>
              </w:rPr>
              <w:t>第十四条 通知与送达</w:t>
            </w:r>
          </w:p>
          <w:p>
            <w:pPr>
              <w:tabs>
                <w:tab w:val="left" w:pos="0"/>
                <w:tab w:val="left" w:pos="180"/>
              </w:tabs>
              <w:spacing w:line="400" w:lineRule="exact"/>
              <w:ind w:right="25" w:rightChars="12" w:firstLine="482" w:firstLineChars="200"/>
              <w:rPr>
                <w:rFonts w:hint="eastAsia" w:ascii="仿宋" w:hAnsi="仿宋" w:eastAsia="仿宋" w:cs="仿宋"/>
                <w:sz w:val="24"/>
                <w:szCs w:val="24"/>
              </w:rPr>
            </w:pPr>
            <w:r>
              <w:rPr>
                <w:rFonts w:hint="eastAsia" w:ascii="仿宋" w:hAnsi="仿宋" w:eastAsia="仿宋" w:cs="仿宋"/>
                <w:b/>
                <w:color w:val="000000" w:themeColor="text1"/>
                <w:sz w:val="24"/>
                <w:szCs w:val="24"/>
                <w14:textFill>
                  <w14:solidFill>
                    <w14:schemeClr w14:val="tx1"/>
                  </w14:solidFill>
                </w14:textFill>
              </w:rPr>
              <w:t>……</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（六）通知时间</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1、审批业务通知：审批通过后通知甲方。</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2、维持担保比例预警通知：当日（T日）清算后维持担保比例低于警戒线，T日起通知甲方。</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3、融资融券负债到期预警通知：提前五个交易日通知甲方。</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4、须提前了结预警通知：如时间允许，提前五个交易日通知甲方。</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5、平仓通知：当日（T日）清算后维持担保比例低于</w:t>
            </w:r>
            <w:r>
              <w:rPr>
                <w:rFonts w:hint="eastAsia" w:ascii="仿宋" w:hAnsi="仿宋" w:eastAsia="仿宋" w:cs="仿宋"/>
                <w:b/>
                <w:bCs/>
                <w:sz w:val="24"/>
                <w:szCs w:val="24"/>
                <w:lang w:val="en-US" w:eastAsia="zh-CN"/>
              </w:rPr>
              <w:t>追保线</w:t>
            </w:r>
            <w:r>
              <w:rPr>
                <w:rFonts w:hint="eastAsia" w:ascii="仿宋" w:hAnsi="仿宋" w:eastAsia="仿宋" w:cs="仿宋"/>
                <w:sz w:val="24"/>
                <w:szCs w:val="24"/>
              </w:rPr>
              <w:t>，T日起通知甲方。</w:t>
            </w:r>
          </w:p>
          <w:p>
            <w:pPr>
              <w:ind w:firstLine="482" w:firstLineChars="200"/>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w:t>
            </w:r>
          </w:p>
          <w:p>
            <w:pPr>
              <w:ind w:firstLine="480" w:firstLineChars="200"/>
              <w:jc w:val="left"/>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（七）乙方定期为甲方提供对账服务：</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乙方为甲方</w:t>
            </w:r>
            <w:r>
              <w:rPr>
                <w:rFonts w:hint="eastAsia" w:ascii="仿宋" w:hAnsi="仿宋" w:eastAsia="仿宋" w:cs="仿宋"/>
                <w:b/>
                <w:bCs/>
                <w:sz w:val="24"/>
                <w:szCs w:val="24"/>
              </w:rPr>
              <w:t>通过乙方交易系统查询、发送电子邮件查询等方式提供对账服务</w:t>
            </w:r>
            <w:r>
              <w:rPr>
                <w:rFonts w:hint="eastAsia" w:ascii="仿宋" w:hAnsi="仿宋" w:eastAsia="仿宋" w:cs="仿宋"/>
                <w:sz w:val="24"/>
                <w:szCs w:val="24"/>
              </w:rPr>
              <w:t>；甲方如需乙方提供纸质对账单，甲方本人（或机构授权代理人）携带有效证件到乙方开户营业场所柜台打印对账单。</w:t>
            </w:r>
            <w:r>
              <w:rPr>
                <w:rFonts w:hint="eastAsia" w:ascii="仿宋" w:hAnsi="仿宋" w:eastAsia="仿宋" w:cs="仿宋"/>
                <w:b/>
                <w:bCs/>
                <w:sz w:val="24"/>
                <w:szCs w:val="24"/>
              </w:rPr>
              <w:t>对账单载明如下事项：</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1、甲方授信额度与剩余可用授信额度；</w:t>
            </w:r>
          </w:p>
          <w:p>
            <w:pPr>
              <w:tabs>
                <w:tab w:val="left" w:pos="0"/>
                <w:tab w:val="left" w:pos="180"/>
              </w:tabs>
              <w:spacing w:line="400" w:lineRule="exact"/>
              <w:ind w:right="25" w:rightChars="12" w:firstLine="480" w:firstLineChars="200"/>
              <w:rPr>
                <w:rFonts w:hint="eastAsia" w:ascii="仿宋" w:hAnsi="仿宋" w:eastAsia="仿宋" w:cs="仿宋"/>
                <w:sz w:val="24"/>
                <w:szCs w:val="24"/>
              </w:rPr>
            </w:pPr>
            <w:r>
              <w:rPr>
                <w:rFonts w:hint="eastAsia" w:ascii="仿宋" w:hAnsi="仿宋" w:eastAsia="仿宋" w:cs="仿宋"/>
                <w:sz w:val="24"/>
                <w:szCs w:val="24"/>
              </w:rPr>
              <w:t>2、甲方信用账户资产总值、负债总额、保证金可用余额与可提取金额、担保证券市值、维持担保比例；</w:t>
            </w:r>
          </w:p>
          <w:p>
            <w:pPr>
              <w:tabs>
                <w:tab w:val="left" w:pos="0"/>
                <w:tab w:val="left" w:pos="180"/>
              </w:tabs>
              <w:spacing w:line="400" w:lineRule="exact"/>
              <w:ind w:right="25" w:rightChars="12"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sz w:val="24"/>
                <w:szCs w:val="24"/>
              </w:rPr>
              <w:t>3、每笔融资利息与融券费用、偿还期限、融资买入与融券卖出的成交价格、数量、金额。</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5B0F1"/>
    <w:multiLevelType w:val="singleLevel"/>
    <w:tmpl w:val="A315B0F1"/>
    <w:lvl w:ilvl="0" w:tentative="0">
      <w:start w:val="2"/>
      <w:numFmt w:val="chineseCounting"/>
      <w:suff w:val="space"/>
      <w:lvlText w:val="第%1条"/>
      <w:lvlJc w:val="left"/>
      <w:rPr>
        <w:rFonts w:hint="eastAsia"/>
      </w:rPr>
    </w:lvl>
  </w:abstractNum>
  <w:abstractNum w:abstractNumId="1">
    <w:nsid w:val="B7A0614D"/>
    <w:multiLevelType w:val="singleLevel"/>
    <w:tmpl w:val="B7A0614D"/>
    <w:lvl w:ilvl="0" w:tentative="0">
      <w:start w:val="8"/>
      <w:numFmt w:val="decimal"/>
      <w:suff w:val="nothing"/>
      <w:lvlText w:val="%1、"/>
      <w:lvlJc w:val="left"/>
    </w:lvl>
  </w:abstractNum>
  <w:abstractNum w:abstractNumId="2">
    <w:nsid w:val="E157822F"/>
    <w:multiLevelType w:val="singleLevel"/>
    <w:tmpl w:val="E157822F"/>
    <w:lvl w:ilvl="0" w:tentative="0">
      <w:start w:val="1"/>
      <w:numFmt w:val="chineseCounting"/>
      <w:suff w:val="nothing"/>
      <w:lvlText w:val="（%1）"/>
      <w:lvlJc w:val="left"/>
      <w:rPr>
        <w:rFonts w:hint="eastAsia"/>
      </w:rPr>
    </w:lvl>
  </w:abstractNum>
  <w:abstractNum w:abstractNumId="3">
    <w:nsid w:val="0CD801FD"/>
    <w:multiLevelType w:val="singleLevel"/>
    <w:tmpl w:val="0CD801F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ZjhmMTI3ZGQ2MDgxZWFiZDU2M2JiMmJlNTg1OWQifQ=="/>
    <w:docVar w:name="KSO_WPS_MARK_KEY" w:val="5c24e2f5-a351-457f-80e6-9c596cbfb4fd"/>
  </w:docVars>
  <w:rsids>
    <w:rsidRoot w:val="008B4509"/>
    <w:rsid w:val="00000573"/>
    <w:rsid w:val="00003A48"/>
    <w:rsid w:val="00003CEA"/>
    <w:rsid w:val="000054E3"/>
    <w:rsid w:val="00010868"/>
    <w:rsid w:val="00015C92"/>
    <w:rsid w:val="00015DA9"/>
    <w:rsid w:val="0001751E"/>
    <w:rsid w:val="00022A02"/>
    <w:rsid w:val="00024C71"/>
    <w:rsid w:val="000251A5"/>
    <w:rsid w:val="00030904"/>
    <w:rsid w:val="00032703"/>
    <w:rsid w:val="00033670"/>
    <w:rsid w:val="00035AD1"/>
    <w:rsid w:val="00036A4C"/>
    <w:rsid w:val="0004246C"/>
    <w:rsid w:val="0004556E"/>
    <w:rsid w:val="00057EF7"/>
    <w:rsid w:val="0006020A"/>
    <w:rsid w:val="00067975"/>
    <w:rsid w:val="000738EA"/>
    <w:rsid w:val="000767A2"/>
    <w:rsid w:val="00085737"/>
    <w:rsid w:val="00094C65"/>
    <w:rsid w:val="000A00B8"/>
    <w:rsid w:val="000B32D1"/>
    <w:rsid w:val="000C167A"/>
    <w:rsid w:val="000C1BA3"/>
    <w:rsid w:val="000C40B1"/>
    <w:rsid w:val="000D0035"/>
    <w:rsid w:val="000D3494"/>
    <w:rsid w:val="000E505B"/>
    <w:rsid w:val="000E5997"/>
    <w:rsid w:val="000E7093"/>
    <w:rsid w:val="000F2F1B"/>
    <w:rsid w:val="000F48EC"/>
    <w:rsid w:val="00101E9C"/>
    <w:rsid w:val="001031A1"/>
    <w:rsid w:val="0011309A"/>
    <w:rsid w:val="00131E5C"/>
    <w:rsid w:val="001341CF"/>
    <w:rsid w:val="00136BFB"/>
    <w:rsid w:val="001416CE"/>
    <w:rsid w:val="00142890"/>
    <w:rsid w:val="00143013"/>
    <w:rsid w:val="001431D3"/>
    <w:rsid w:val="001439A7"/>
    <w:rsid w:val="00153FBD"/>
    <w:rsid w:val="001635CC"/>
    <w:rsid w:val="00164017"/>
    <w:rsid w:val="00170FCF"/>
    <w:rsid w:val="00171799"/>
    <w:rsid w:val="00181CC1"/>
    <w:rsid w:val="001844AF"/>
    <w:rsid w:val="00184F74"/>
    <w:rsid w:val="00191B6D"/>
    <w:rsid w:val="001A5DDF"/>
    <w:rsid w:val="001A7E2F"/>
    <w:rsid w:val="001B1A25"/>
    <w:rsid w:val="001B4A28"/>
    <w:rsid w:val="001C393E"/>
    <w:rsid w:val="001C4797"/>
    <w:rsid w:val="001D0488"/>
    <w:rsid w:val="001D1536"/>
    <w:rsid w:val="001D23B7"/>
    <w:rsid w:val="001D30B2"/>
    <w:rsid w:val="001D342D"/>
    <w:rsid w:val="001D38D8"/>
    <w:rsid w:val="001D4E73"/>
    <w:rsid w:val="001D74B9"/>
    <w:rsid w:val="001E01A1"/>
    <w:rsid w:val="001E2F03"/>
    <w:rsid w:val="001E50DB"/>
    <w:rsid w:val="001F0461"/>
    <w:rsid w:val="001F1D3D"/>
    <w:rsid w:val="001F5087"/>
    <w:rsid w:val="001F53BE"/>
    <w:rsid w:val="001F598A"/>
    <w:rsid w:val="001F727C"/>
    <w:rsid w:val="0021447A"/>
    <w:rsid w:val="00215169"/>
    <w:rsid w:val="00216A48"/>
    <w:rsid w:val="00222087"/>
    <w:rsid w:val="002264CF"/>
    <w:rsid w:val="00230867"/>
    <w:rsid w:val="00231266"/>
    <w:rsid w:val="002315DE"/>
    <w:rsid w:val="00232669"/>
    <w:rsid w:val="0023338C"/>
    <w:rsid w:val="00240A52"/>
    <w:rsid w:val="00241CD2"/>
    <w:rsid w:val="00244574"/>
    <w:rsid w:val="00246F32"/>
    <w:rsid w:val="0025112C"/>
    <w:rsid w:val="00252D31"/>
    <w:rsid w:val="00253EC5"/>
    <w:rsid w:val="0025418F"/>
    <w:rsid w:val="00260510"/>
    <w:rsid w:val="002613B8"/>
    <w:rsid w:val="00263C4B"/>
    <w:rsid w:val="00264FF0"/>
    <w:rsid w:val="00265A19"/>
    <w:rsid w:val="00266D1E"/>
    <w:rsid w:val="00267278"/>
    <w:rsid w:val="00273993"/>
    <w:rsid w:val="00277806"/>
    <w:rsid w:val="00280C18"/>
    <w:rsid w:val="00281068"/>
    <w:rsid w:val="002A0C54"/>
    <w:rsid w:val="002A19D9"/>
    <w:rsid w:val="002A3161"/>
    <w:rsid w:val="002A5255"/>
    <w:rsid w:val="002B00FB"/>
    <w:rsid w:val="002B056E"/>
    <w:rsid w:val="002B0E9D"/>
    <w:rsid w:val="002B3CF1"/>
    <w:rsid w:val="002B62EE"/>
    <w:rsid w:val="002B69E1"/>
    <w:rsid w:val="002B71E5"/>
    <w:rsid w:val="002B72EC"/>
    <w:rsid w:val="002B74CD"/>
    <w:rsid w:val="002C0229"/>
    <w:rsid w:val="002C3886"/>
    <w:rsid w:val="002D550B"/>
    <w:rsid w:val="002D6B87"/>
    <w:rsid w:val="002E2CC1"/>
    <w:rsid w:val="002E51C9"/>
    <w:rsid w:val="002E6413"/>
    <w:rsid w:val="002E796F"/>
    <w:rsid w:val="002F53A1"/>
    <w:rsid w:val="002F66D5"/>
    <w:rsid w:val="002F6DD1"/>
    <w:rsid w:val="00301E4E"/>
    <w:rsid w:val="00303A69"/>
    <w:rsid w:val="00306A36"/>
    <w:rsid w:val="0031432E"/>
    <w:rsid w:val="003173FF"/>
    <w:rsid w:val="00322260"/>
    <w:rsid w:val="0033183C"/>
    <w:rsid w:val="00333AF8"/>
    <w:rsid w:val="00333FD3"/>
    <w:rsid w:val="0033418E"/>
    <w:rsid w:val="00335558"/>
    <w:rsid w:val="0033697A"/>
    <w:rsid w:val="00340014"/>
    <w:rsid w:val="00343C7C"/>
    <w:rsid w:val="00346EA2"/>
    <w:rsid w:val="00350E2F"/>
    <w:rsid w:val="0035165F"/>
    <w:rsid w:val="003526E0"/>
    <w:rsid w:val="003532E9"/>
    <w:rsid w:val="003542FB"/>
    <w:rsid w:val="003602B3"/>
    <w:rsid w:val="00360BE2"/>
    <w:rsid w:val="00361A6C"/>
    <w:rsid w:val="00361DDF"/>
    <w:rsid w:val="00364435"/>
    <w:rsid w:val="003676E4"/>
    <w:rsid w:val="00371814"/>
    <w:rsid w:val="0037185D"/>
    <w:rsid w:val="00371868"/>
    <w:rsid w:val="00381DD8"/>
    <w:rsid w:val="003844BD"/>
    <w:rsid w:val="00385021"/>
    <w:rsid w:val="003915AF"/>
    <w:rsid w:val="0039232E"/>
    <w:rsid w:val="00392717"/>
    <w:rsid w:val="00393343"/>
    <w:rsid w:val="00396BFE"/>
    <w:rsid w:val="00396D2A"/>
    <w:rsid w:val="003A0B5B"/>
    <w:rsid w:val="003A1108"/>
    <w:rsid w:val="003A39C2"/>
    <w:rsid w:val="003A3FE9"/>
    <w:rsid w:val="003A5D3B"/>
    <w:rsid w:val="003B3314"/>
    <w:rsid w:val="003C0A0E"/>
    <w:rsid w:val="003C3700"/>
    <w:rsid w:val="003C45E7"/>
    <w:rsid w:val="003C4FC7"/>
    <w:rsid w:val="003C5135"/>
    <w:rsid w:val="003D1777"/>
    <w:rsid w:val="003D6C06"/>
    <w:rsid w:val="003D72CB"/>
    <w:rsid w:val="003E0C49"/>
    <w:rsid w:val="003F1376"/>
    <w:rsid w:val="00402DD5"/>
    <w:rsid w:val="00403C15"/>
    <w:rsid w:val="00405149"/>
    <w:rsid w:val="00410071"/>
    <w:rsid w:val="0041617E"/>
    <w:rsid w:val="004164A7"/>
    <w:rsid w:val="00417072"/>
    <w:rsid w:val="0041771E"/>
    <w:rsid w:val="004226D7"/>
    <w:rsid w:val="0043363C"/>
    <w:rsid w:val="004347D4"/>
    <w:rsid w:val="00434953"/>
    <w:rsid w:val="004366BB"/>
    <w:rsid w:val="004374CB"/>
    <w:rsid w:val="004402B3"/>
    <w:rsid w:val="0044044B"/>
    <w:rsid w:val="00440ED7"/>
    <w:rsid w:val="00441F74"/>
    <w:rsid w:val="0044265F"/>
    <w:rsid w:val="00442ABE"/>
    <w:rsid w:val="0047005B"/>
    <w:rsid w:val="00471B5C"/>
    <w:rsid w:val="00474916"/>
    <w:rsid w:val="00481546"/>
    <w:rsid w:val="0048555E"/>
    <w:rsid w:val="004864F3"/>
    <w:rsid w:val="00486A5A"/>
    <w:rsid w:val="004878BA"/>
    <w:rsid w:val="00487AB9"/>
    <w:rsid w:val="00490139"/>
    <w:rsid w:val="004918D7"/>
    <w:rsid w:val="0049353D"/>
    <w:rsid w:val="00496996"/>
    <w:rsid w:val="004A02FA"/>
    <w:rsid w:val="004A3D64"/>
    <w:rsid w:val="004B2FD5"/>
    <w:rsid w:val="004B438A"/>
    <w:rsid w:val="004B5FA7"/>
    <w:rsid w:val="004B62B5"/>
    <w:rsid w:val="004B68C7"/>
    <w:rsid w:val="004C1FDF"/>
    <w:rsid w:val="004C33DC"/>
    <w:rsid w:val="004C47EF"/>
    <w:rsid w:val="004C756C"/>
    <w:rsid w:val="004D228C"/>
    <w:rsid w:val="004D28C1"/>
    <w:rsid w:val="004D6467"/>
    <w:rsid w:val="004E1D1D"/>
    <w:rsid w:val="004E724C"/>
    <w:rsid w:val="004E7C70"/>
    <w:rsid w:val="004F0CF4"/>
    <w:rsid w:val="004F18CF"/>
    <w:rsid w:val="004F19CB"/>
    <w:rsid w:val="004F1BF9"/>
    <w:rsid w:val="004F27B9"/>
    <w:rsid w:val="004F3473"/>
    <w:rsid w:val="004F399F"/>
    <w:rsid w:val="004F4737"/>
    <w:rsid w:val="004F6008"/>
    <w:rsid w:val="004F66C2"/>
    <w:rsid w:val="00501418"/>
    <w:rsid w:val="00504EAB"/>
    <w:rsid w:val="00504F43"/>
    <w:rsid w:val="00514429"/>
    <w:rsid w:val="0052038D"/>
    <w:rsid w:val="00522CC9"/>
    <w:rsid w:val="00532E07"/>
    <w:rsid w:val="00536DD2"/>
    <w:rsid w:val="0055010A"/>
    <w:rsid w:val="00553773"/>
    <w:rsid w:val="005567C1"/>
    <w:rsid w:val="0055796F"/>
    <w:rsid w:val="00562FE8"/>
    <w:rsid w:val="0056629C"/>
    <w:rsid w:val="005704E4"/>
    <w:rsid w:val="0057115B"/>
    <w:rsid w:val="00571521"/>
    <w:rsid w:val="00573554"/>
    <w:rsid w:val="005753E1"/>
    <w:rsid w:val="00585368"/>
    <w:rsid w:val="00585E91"/>
    <w:rsid w:val="00595AA3"/>
    <w:rsid w:val="00596841"/>
    <w:rsid w:val="005A6CDC"/>
    <w:rsid w:val="005A7282"/>
    <w:rsid w:val="005B260D"/>
    <w:rsid w:val="005B5431"/>
    <w:rsid w:val="005B7EDF"/>
    <w:rsid w:val="005C4A59"/>
    <w:rsid w:val="005D5DA5"/>
    <w:rsid w:val="005D6EF0"/>
    <w:rsid w:val="005E106F"/>
    <w:rsid w:val="005E4984"/>
    <w:rsid w:val="005F22AE"/>
    <w:rsid w:val="005F2F8A"/>
    <w:rsid w:val="005F3C70"/>
    <w:rsid w:val="005F4429"/>
    <w:rsid w:val="005F60C2"/>
    <w:rsid w:val="005F6492"/>
    <w:rsid w:val="005F6811"/>
    <w:rsid w:val="006036B7"/>
    <w:rsid w:val="00607114"/>
    <w:rsid w:val="006134A7"/>
    <w:rsid w:val="006207FD"/>
    <w:rsid w:val="00622021"/>
    <w:rsid w:val="006256D2"/>
    <w:rsid w:val="00630663"/>
    <w:rsid w:val="0063083B"/>
    <w:rsid w:val="00631EDB"/>
    <w:rsid w:val="00634FDB"/>
    <w:rsid w:val="00635D6F"/>
    <w:rsid w:val="00642AA1"/>
    <w:rsid w:val="006501ED"/>
    <w:rsid w:val="00650425"/>
    <w:rsid w:val="006511F5"/>
    <w:rsid w:val="00652B50"/>
    <w:rsid w:val="00655A82"/>
    <w:rsid w:val="00655E14"/>
    <w:rsid w:val="006570D7"/>
    <w:rsid w:val="00657DC4"/>
    <w:rsid w:val="00662010"/>
    <w:rsid w:val="0066324F"/>
    <w:rsid w:val="00666577"/>
    <w:rsid w:val="00671675"/>
    <w:rsid w:val="00673D6A"/>
    <w:rsid w:val="006755E9"/>
    <w:rsid w:val="0067629B"/>
    <w:rsid w:val="00676A43"/>
    <w:rsid w:val="00680198"/>
    <w:rsid w:val="006826FA"/>
    <w:rsid w:val="00682F85"/>
    <w:rsid w:val="006852D6"/>
    <w:rsid w:val="006908F5"/>
    <w:rsid w:val="00691C0A"/>
    <w:rsid w:val="00693D76"/>
    <w:rsid w:val="00694848"/>
    <w:rsid w:val="0069706A"/>
    <w:rsid w:val="006A06CB"/>
    <w:rsid w:val="006A1292"/>
    <w:rsid w:val="006A6FDB"/>
    <w:rsid w:val="006B0353"/>
    <w:rsid w:val="006B743B"/>
    <w:rsid w:val="006C0DF3"/>
    <w:rsid w:val="006C6039"/>
    <w:rsid w:val="006D2FF4"/>
    <w:rsid w:val="006D41B7"/>
    <w:rsid w:val="006D7FFA"/>
    <w:rsid w:val="006E046F"/>
    <w:rsid w:val="006F297F"/>
    <w:rsid w:val="006F2FEE"/>
    <w:rsid w:val="006F3DDC"/>
    <w:rsid w:val="006F4368"/>
    <w:rsid w:val="006F7CE9"/>
    <w:rsid w:val="00700CC4"/>
    <w:rsid w:val="007038F7"/>
    <w:rsid w:val="00704105"/>
    <w:rsid w:val="007055FE"/>
    <w:rsid w:val="007068AE"/>
    <w:rsid w:val="007117B1"/>
    <w:rsid w:val="00713262"/>
    <w:rsid w:val="007177C7"/>
    <w:rsid w:val="00717BA3"/>
    <w:rsid w:val="00723219"/>
    <w:rsid w:val="00725DD7"/>
    <w:rsid w:val="00727D65"/>
    <w:rsid w:val="007301CD"/>
    <w:rsid w:val="007319F5"/>
    <w:rsid w:val="00732E3E"/>
    <w:rsid w:val="00741256"/>
    <w:rsid w:val="00744185"/>
    <w:rsid w:val="007459A1"/>
    <w:rsid w:val="00752329"/>
    <w:rsid w:val="0075248E"/>
    <w:rsid w:val="0075329E"/>
    <w:rsid w:val="00761EC4"/>
    <w:rsid w:val="00776DC5"/>
    <w:rsid w:val="00776EA8"/>
    <w:rsid w:val="00777927"/>
    <w:rsid w:val="007802FA"/>
    <w:rsid w:val="00782A73"/>
    <w:rsid w:val="00784B47"/>
    <w:rsid w:val="007929D6"/>
    <w:rsid w:val="00792AD9"/>
    <w:rsid w:val="00792F69"/>
    <w:rsid w:val="007935CB"/>
    <w:rsid w:val="007A00AE"/>
    <w:rsid w:val="007A7216"/>
    <w:rsid w:val="007B2667"/>
    <w:rsid w:val="007B41E6"/>
    <w:rsid w:val="007B717E"/>
    <w:rsid w:val="007C00DA"/>
    <w:rsid w:val="007C10F3"/>
    <w:rsid w:val="007C162F"/>
    <w:rsid w:val="007D00D8"/>
    <w:rsid w:val="007D1FF7"/>
    <w:rsid w:val="007D3A71"/>
    <w:rsid w:val="007D3B51"/>
    <w:rsid w:val="007D7B48"/>
    <w:rsid w:val="007E353A"/>
    <w:rsid w:val="007E3816"/>
    <w:rsid w:val="007E3EB4"/>
    <w:rsid w:val="007E6014"/>
    <w:rsid w:val="007E64C2"/>
    <w:rsid w:val="007F3A70"/>
    <w:rsid w:val="00800A2F"/>
    <w:rsid w:val="00800F22"/>
    <w:rsid w:val="0080453E"/>
    <w:rsid w:val="00804EEB"/>
    <w:rsid w:val="008053EE"/>
    <w:rsid w:val="00807357"/>
    <w:rsid w:val="0081271C"/>
    <w:rsid w:val="00813305"/>
    <w:rsid w:val="00813EB7"/>
    <w:rsid w:val="00820596"/>
    <w:rsid w:val="00826AAA"/>
    <w:rsid w:val="00826F19"/>
    <w:rsid w:val="00827CC3"/>
    <w:rsid w:val="00831E72"/>
    <w:rsid w:val="00832665"/>
    <w:rsid w:val="00834587"/>
    <w:rsid w:val="00836E47"/>
    <w:rsid w:val="00837E82"/>
    <w:rsid w:val="008409BA"/>
    <w:rsid w:val="00840C4A"/>
    <w:rsid w:val="00844F2B"/>
    <w:rsid w:val="00846890"/>
    <w:rsid w:val="00850261"/>
    <w:rsid w:val="00851275"/>
    <w:rsid w:val="008542A1"/>
    <w:rsid w:val="00854753"/>
    <w:rsid w:val="00860607"/>
    <w:rsid w:val="00860970"/>
    <w:rsid w:val="00876566"/>
    <w:rsid w:val="00881740"/>
    <w:rsid w:val="00882279"/>
    <w:rsid w:val="00882E05"/>
    <w:rsid w:val="00885E71"/>
    <w:rsid w:val="00892B31"/>
    <w:rsid w:val="0089324E"/>
    <w:rsid w:val="0089554E"/>
    <w:rsid w:val="008A3E7C"/>
    <w:rsid w:val="008B4509"/>
    <w:rsid w:val="008C004C"/>
    <w:rsid w:val="008C0839"/>
    <w:rsid w:val="008C157C"/>
    <w:rsid w:val="008C7CC5"/>
    <w:rsid w:val="008D33E1"/>
    <w:rsid w:val="008D6F0F"/>
    <w:rsid w:val="008E2246"/>
    <w:rsid w:val="008E455E"/>
    <w:rsid w:val="008F0D53"/>
    <w:rsid w:val="008F449A"/>
    <w:rsid w:val="00906963"/>
    <w:rsid w:val="009232C6"/>
    <w:rsid w:val="00923F8D"/>
    <w:rsid w:val="0092725E"/>
    <w:rsid w:val="00942FB5"/>
    <w:rsid w:val="009456DC"/>
    <w:rsid w:val="00947EF5"/>
    <w:rsid w:val="009500F2"/>
    <w:rsid w:val="00955B11"/>
    <w:rsid w:val="00967CEF"/>
    <w:rsid w:val="00971470"/>
    <w:rsid w:val="00971AFF"/>
    <w:rsid w:val="00973F40"/>
    <w:rsid w:val="00974873"/>
    <w:rsid w:val="00976CD7"/>
    <w:rsid w:val="009813BE"/>
    <w:rsid w:val="00981DB6"/>
    <w:rsid w:val="00982938"/>
    <w:rsid w:val="00987E58"/>
    <w:rsid w:val="00991412"/>
    <w:rsid w:val="009923BD"/>
    <w:rsid w:val="00993BBF"/>
    <w:rsid w:val="00994393"/>
    <w:rsid w:val="00995098"/>
    <w:rsid w:val="009A4068"/>
    <w:rsid w:val="009A4A6F"/>
    <w:rsid w:val="009A7C43"/>
    <w:rsid w:val="009B103F"/>
    <w:rsid w:val="009B319D"/>
    <w:rsid w:val="009B3300"/>
    <w:rsid w:val="009B4A57"/>
    <w:rsid w:val="009C0C33"/>
    <w:rsid w:val="009C1BBC"/>
    <w:rsid w:val="009C3789"/>
    <w:rsid w:val="009C79B1"/>
    <w:rsid w:val="009D007A"/>
    <w:rsid w:val="009D13F0"/>
    <w:rsid w:val="009D3424"/>
    <w:rsid w:val="009E3B47"/>
    <w:rsid w:val="009E3B72"/>
    <w:rsid w:val="009E405E"/>
    <w:rsid w:val="009E5424"/>
    <w:rsid w:val="009E5814"/>
    <w:rsid w:val="009E5F68"/>
    <w:rsid w:val="009E7749"/>
    <w:rsid w:val="009F3D0D"/>
    <w:rsid w:val="009F7B66"/>
    <w:rsid w:val="00A10C2E"/>
    <w:rsid w:val="00A1371A"/>
    <w:rsid w:val="00A322E2"/>
    <w:rsid w:val="00A338AE"/>
    <w:rsid w:val="00A35AE7"/>
    <w:rsid w:val="00A37F0D"/>
    <w:rsid w:val="00A411C6"/>
    <w:rsid w:val="00A42FD9"/>
    <w:rsid w:val="00A443B2"/>
    <w:rsid w:val="00A44D45"/>
    <w:rsid w:val="00A46AE2"/>
    <w:rsid w:val="00A47C63"/>
    <w:rsid w:val="00A52EB2"/>
    <w:rsid w:val="00A54B70"/>
    <w:rsid w:val="00A608EC"/>
    <w:rsid w:val="00A616C8"/>
    <w:rsid w:val="00A62C33"/>
    <w:rsid w:val="00A64126"/>
    <w:rsid w:val="00A65996"/>
    <w:rsid w:val="00A668FD"/>
    <w:rsid w:val="00A806F3"/>
    <w:rsid w:val="00A80CC2"/>
    <w:rsid w:val="00A839BB"/>
    <w:rsid w:val="00A85CE4"/>
    <w:rsid w:val="00A867AA"/>
    <w:rsid w:val="00A8740B"/>
    <w:rsid w:val="00A92A8C"/>
    <w:rsid w:val="00A93FD6"/>
    <w:rsid w:val="00A95A66"/>
    <w:rsid w:val="00A96C1F"/>
    <w:rsid w:val="00AA07A2"/>
    <w:rsid w:val="00AA2D0D"/>
    <w:rsid w:val="00AA5E96"/>
    <w:rsid w:val="00AA61F0"/>
    <w:rsid w:val="00AB2CBD"/>
    <w:rsid w:val="00AB4717"/>
    <w:rsid w:val="00AB7C66"/>
    <w:rsid w:val="00AC0D3A"/>
    <w:rsid w:val="00AC186B"/>
    <w:rsid w:val="00AC245F"/>
    <w:rsid w:val="00AC514B"/>
    <w:rsid w:val="00AC7A30"/>
    <w:rsid w:val="00AD4A88"/>
    <w:rsid w:val="00AD6F85"/>
    <w:rsid w:val="00AE4CA5"/>
    <w:rsid w:val="00AE6D40"/>
    <w:rsid w:val="00AF1ABF"/>
    <w:rsid w:val="00AF20A8"/>
    <w:rsid w:val="00AF3FD2"/>
    <w:rsid w:val="00AF69EE"/>
    <w:rsid w:val="00B00619"/>
    <w:rsid w:val="00B035BB"/>
    <w:rsid w:val="00B046F6"/>
    <w:rsid w:val="00B059F9"/>
    <w:rsid w:val="00B15A17"/>
    <w:rsid w:val="00B166EA"/>
    <w:rsid w:val="00B27CDF"/>
    <w:rsid w:val="00B3020A"/>
    <w:rsid w:val="00B3562C"/>
    <w:rsid w:val="00B3768B"/>
    <w:rsid w:val="00B453AB"/>
    <w:rsid w:val="00B520F9"/>
    <w:rsid w:val="00B52BD6"/>
    <w:rsid w:val="00B54CA2"/>
    <w:rsid w:val="00B61AF7"/>
    <w:rsid w:val="00B63579"/>
    <w:rsid w:val="00B635E2"/>
    <w:rsid w:val="00B653C3"/>
    <w:rsid w:val="00B65F17"/>
    <w:rsid w:val="00B756E6"/>
    <w:rsid w:val="00B83D5E"/>
    <w:rsid w:val="00B851A7"/>
    <w:rsid w:val="00B85E4D"/>
    <w:rsid w:val="00B86070"/>
    <w:rsid w:val="00B86CC4"/>
    <w:rsid w:val="00B86D9B"/>
    <w:rsid w:val="00B87C49"/>
    <w:rsid w:val="00B91DE8"/>
    <w:rsid w:val="00B96E6D"/>
    <w:rsid w:val="00BA6448"/>
    <w:rsid w:val="00BA7E07"/>
    <w:rsid w:val="00BB2EB0"/>
    <w:rsid w:val="00BB3A96"/>
    <w:rsid w:val="00BB73C7"/>
    <w:rsid w:val="00BC0470"/>
    <w:rsid w:val="00BC64DB"/>
    <w:rsid w:val="00BD0D37"/>
    <w:rsid w:val="00BD0F81"/>
    <w:rsid w:val="00BD2B22"/>
    <w:rsid w:val="00BD3704"/>
    <w:rsid w:val="00BD4E5A"/>
    <w:rsid w:val="00BD5BA9"/>
    <w:rsid w:val="00BE2A9B"/>
    <w:rsid w:val="00BF02D5"/>
    <w:rsid w:val="00C045A2"/>
    <w:rsid w:val="00C06B52"/>
    <w:rsid w:val="00C0772F"/>
    <w:rsid w:val="00C1155B"/>
    <w:rsid w:val="00C141E1"/>
    <w:rsid w:val="00C14ED6"/>
    <w:rsid w:val="00C1658D"/>
    <w:rsid w:val="00C20131"/>
    <w:rsid w:val="00C226A0"/>
    <w:rsid w:val="00C25801"/>
    <w:rsid w:val="00C25ED4"/>
    <w:rsid w:val="00C34F98"/>
    <w:rsid w:val="00C365E8"/>
    <w:rsid w:val="00C3737D"/>
    <w:rsid w:val="00C4055C"/>
    <w:rsid w:val="00C44E8C"/>
    <w:rsid w:val="00C505F9"/>
    <w:rsid w:val="00C5197D"/>
    <w:rsid w:val="00C5265D"/>
    <w:rsid w:val="00C579D4"/>
    <w:rsid w:val="00C73178"/>
    <w:rsid w:val="00C731A6"/>
    <w:rsid w:val="00C74C60"/>
    <w:rsid w:val="00C76D81"/>
    <w:rsid w:val="00C76EF1"/>
    <w:rsid w:val="00C81BC1"/>
    <w:rsid w:val="00C9023E"/>
    <w:rsid w:val="00CA151A"/>
    <w:rsid w:val="00CB5110"/>
    <w:rsid w:val="00CC1241"/>
    <w:rsid w:val="00CC176D"/>
    <w:rsid w:val="00CC7621"/>
    <w:rsid w:val="00CD09A5"/>
    <w:rsid w:val="00CD1B7C"/>
    <w:rsid w:val="00CD33BD"/>
    <w:rsid w:val="00CE2D9E"/>
    <w:rsid w:val="00CF0761"/>
    <w:rsid w:val="00CF1E3C"/>
    <w:rsid w:val="00CF5A8D"/>
    <w:rsid w:val="00D0025F"/>
    <w:rsid w:val="00D03B77"/>
    <w:rsid w:val="00D04686"/>
    <w:rsid w:val="00D059AA"/>
    <w:rsid w:val="00D10F1A"/>
    <w:rsid w:val="00D15011"/>
    <w:rsid w:val="00D17DF4"/>
    <w:rsid w:val="00D23485"/>
    <w:rsid w:val="00D237BB"/>
    <w:rsid w:val="00D34E88"/>
    <w:rsid w:val="00D35F17"/>
    <w:rsid w:val="00D444E5"/>
    <w:rsid w:val="00D463C6"/>
    <w:rsid w:val="00D662C8"/>
    <w:rsid w:val="00D720F5"/>
    <w:rsid w:val="00D7248C"/>
    <w:rsid w:val="00D76781"/>
    <w:rsid w:val="00D80D4D"/>
    <w:rsid w:val="00D82A65"/>
    <w:rsid w:val="00D831B4"/>
    <w:rsid w:val="00D83E54"/>
    <w:rsid w:val="00D85022"/>
    <w:rsid w:val="00D8682E"/>
    <w:rsid w:val="00D86DC9"/>
    <w:rsid w:val="00D9741F"/>
    <w:rsid w:val="00DA095D"/>
    <w:rsid w:val="00DA1DE1"/>
    <w:rsid w:val="00DA5FF9"/>
    <w:rsid w:val="00DB02C2"/>
    <w:rsid w:val="00DB0C18"/>
    <w:rsid w:val="00DB0CEA"/>
    <w:rsid w:val="00DB4743"/>
    <w:rsid w:val="00DB4CF1"/>
    <w:rsid w:val="00DB5744"/>
    <w:rsid w:val="00DC037F"/>
    <w:rsid w:val="00DC09B9"/>
    <w:rsid w:val="00DC0EDC"/>
    <w:rsid w:val="00DC7E3A"/>
    <w:rsid w:val="00DD1558"/>
    <w:rsid w:val="00DD3616"/>
    <w:rsid w:val="00DD42D4"/>
    <w:rsid w:val="00DE5537"/>
    <w:rsid w:val="00DE5BCE"/>
    <w:rsid w:val="00DE6AAC"/>
    <w:rsid w:val="00DE6D73"/>
    <w:rsid w:val="00DE759D"/>
    <w:rsid w:val="00DF1175"/>
    <w:rsid w:val="00DF33B0"/>
    <w:rsid w:val="00E06EF4"/>
    <w:rsid w:val="00E0750F"/>
    <w:rsid w:val="00E129B1"/>
    <w:rsid w:val="00E1445E"/>
    <w:rsid w:val="00E14BA7"/>
    <w:rsid w:val="00E15BAB"/>
    <w:rsid w:val="00E22315"/>
    <w:rsid w:val="00E2323F"/>
    <w:rsid w:val="00E25FC6"/>
    <w:rsid w:val="00E2741F"/>
    <w:rsid w:val="00E360A7"/>
    <w:rsid w:val="00E4032E"/>
    <w:rsid w:val="00E44CB6"/>
    <w:rsid w:val="00E508C2"/>
    <w:rsid w:val="00E51D15"/>
    <w:rsid w:val="00E53854"/>
    <w:rsid w:val="00E55F79"/>
    <w:rsid w:val="00E578C7"/>
    <w:rsid w:val="00E62ECD"/>
    <w:rsid w:val="00E65027"/>
    <w:rsid w:val="00E65266"/>
    <w:rsid w:val="00E66FF1"/>
    <w:rsid w:val="00E76C84"/>
    <w:rsid w:val="00E77087"/>
    <w:rsid w:val="00E862B9"/>
    <w:rsid w:val="00E86A5D"/>
    <w:rsid w:val="00E9109E"/>
    <w:rsid w:val="00E9128D"/>
    <w:rsid w:val="00E91F11"/>
    <w:rsid w:val="00E933FA"/>
    <w:rsid w:val="00EA3186"/>
    <w:rsid w:val="00EA40E8"/>
    <w:rsid w:val="00EA48D5"/>
    <w:rsid w:val="00EA4B02"/>
    <w:rsid w:val="00EB4D9D"/>
    <w:rsid w:val="00EE04AC"/>
    <w:rsid w:val="00EE1AA5"/>
    <w:rsid w:val="00EE7537"/>
    <w:rsid w:val="00EF38EE"/>
    <w:rsid w:val="00F00416"/>
    <w:rsid w:val="00F025B9"/>
    <w:rsid w:val="00F0623B"/>
    <w:rsid w:val="00F12646"/>
    <w:rsid w:val="00F15DEC"/>
    <w:rsid w:val="00F202BD"/>
    <w:rsid w:val="00F23962"/>
    <w:rsid w:val="00F24565"/>
    <w:rsid w:val="00F25662"/>
    <w:rsid w:val="00F32C29"/>
    <w:rsid w:val="00F40B5E"/>
    <w:rsid w:val="00F4252F"/>
    <w:rsid w:val="00F4344B"/>
    <w:rsid w:val="00F52990"/>
    <w:rsid w:val="00F53CDC"/>
    <w:rsid w:val="00F63331"/>
    <w:rsid w:val="00F63EE0"/>
    <w:rsid w:val="00F67990"/>
    <w:rsid w:val="00F72285"/>
    <w:rsid w:val="00F7633B"/>
    <w:rsid w:val="00F80EA5"/>
    <w:rsid w:val="00F85166"/>
    <w:rsid w:val="00F931FE"/>
    <w:rsid w:val="00F95172"/>
    <w:rsid w:val="00FA1290"/>
    <w:rsid w:val="00FA3AA7"/>
    <w:rsid w:val="00FA67BD"/>
    <w:rsid w:val="00FB2117"/>
    <w:rsid w:val="00FB5FAD"/>
    <w:rsid w:val="00FD5477"/>
    <w:rsid w:val="00FD68F8"/>
    <w:rsid w:val="00FD6A2D"/>
    <w:rsid w:val="00FD7ED9"/>
    <w:rsid w:val="00FE5659"/>
    <w:rsid w:val="00FE5DCB"/>
    <w:rsid w:val="00FF1E29"/>
    <w:rsid w:val="059921D1"/>
    <w:rsid w:val="06622973"/>
    <w:rsid w:val="08B03E69"/>
    <w:rsid w:val="090A5FB6"/>
    <w:rsid w:val="0C886EAB"/>
    <w:rsid w:val="0F3B5EA8"/>
    <w:rsid w:val="1021753B"/>
    <w:rsid w:val="10BC7123"/>
    <w:rsid w:val="15DB49C8"/>
    <w:rsid w:val="16C451D7"/>
    <w:rsid w:val="19B61F54"/>
    <w:rsid w:val="1AB30D11"/>
    <w:rsid w:val="1ABF54C2"/>
    <w:rsid w:val="1B6B3C20"/>
    <w:rsid w:val="1D631052"/>
    <w:rsid w:val="1E5E7A6C"/>
    <w:rsid w:val="1ED8781E"/>
    <w:rsid w:val="2110329F"/>
    <w:rsid w:val="21B07269"/>
    <w:rsid w:val="22105521"/>
    <w:rsid w:val="22791318"/>
    <w:rsid w:val="230C5CE8"/>
    <w:rsid w:val="244E4ECC"/>
    <w:rsid w:val="24523BCF"/>
    <w:rsid w:val="24630C6B"/>
    <w:rsid w:val="24E617EF"/>
    <w:rsid w:val="256D5FDE"/>
    <w:rsid w:val="25861D82"/>
    <w:rsid w:val="260220A2"/>
    <w:rsid w:val="26C5725D"/>
    <w:rsid w:val="26CD3EE7"/>
    <w:rsid w:val="2A637492"/>
    <w:rsid w:val="2AC70438"/>
    <w:rsid w:val="2B7B1C5D"/>
    <w:rsid w:val="2BAC0068"/>
    <w:rsid w:val="2C300C99"/>
    <w:rsid w:val="2CC55405"/>
    <w:rsid w:val="30142680"/>
    <w:rsid w:val="30D140CD"/>
    <w:rsid w:val="36BF3346"/>
    <w:rsid w:val="36F80B37"/>
    <w:rsid w:val="39653FE8"/>
    <w:rsid w:val="39CB786D"/>
    <w:rsid w:val="3A1A6AE5"/>
    <w:rsid w:val="3BEB170D"/>
    <w:rsid w:val="3CD106C8"/>
    <w:rsid w:val="3EA370A9"/>
    <w:rsid w:val="3F9B5B1A"/>
    <w:rsid w:val="4013025E"/>
    <w:rsid w:val="41E959BD"/>
    <w:rsid w:val="41FD2F74"/>
    <w:rsid w:val="47A064D3"/>
    <w:rsid w:val="48313978"/>
    <w:rsid w:val="488066AD"/>
    <w:rsid w:val="48D013E2"/>
    <w:rsid w:val="4B372AE9"/>
    <w:rsid w:val="4D1B4BF6"/>
    <w:rsid w:val="4EEC684A"/>
    <w:rsid w:val="4F964281"/>
    <w:rsid w:val="4FEE14AB"/>
    <w:rsid w:val="501716A5"/>
    <w:rsid w:val="52FC2DD4"/>
    <w:rsid w:val="550247B9"/>
    <w:rsid w:val="55A25EB5"/>
    <w:rsid w:val="5668428F"/>
    <w:rsid w:val="57145898"/>
    <w:rsid w:val="57AE679C"/>
    <w:rsid w:val="58354DBE"/>
    <w:rsid w:val="5BB57E26"/>
    <w:rsid w:val="5BB64468"/>
    <w:rsid w:val="5D2E6280"/>
    <w:rsid w:val="60B612C5"/>
    <w:rsid w:val="626D15F8"/>
    <w:rsid w:val="63BD589B"/>
    <w:rsid w:val="63DD455C"/>
    <w:rsid w:val="644D79C5"/>
    <w:rsid w:val="64F32289"/>
    <w:rsid w:val="65504B8F"/>
    <w:rsid w:val="657D3FE7"/>
    <w:rsid w:val="67A35EC7"/>
    <w:rsid w:val="68AB4C28"/>
    <w:rsid w:val="697C368E"/>
    <w:rsid w:val="6B9B71D6"/>
    <w:rsid w:val="6B9D6AAA"/>
    <w:rsid w:val="6BA03D04"/>
    <w:rsid w:val="6CF03552"/>
    <w:rsid w:val="6E183407"/>
    <w:rsid w:val="6E71421E"/>
    <w:rsid w:val="711513D7"/>
    <w:rsid w:val="716965D2"/>
    <w:rsid w:val="73DD44C2"/>
    <w:rsid w:val="7B7D2454"/>
    <w:rsid w:val="7CEF1130"/>
    <w:rsid w:val="7D43322A"/>
    <w:rsid w:val="7D6306FA"/>
    <w:rsid w:val="7E294533"/>
    <w:rsid w:val="7E663674"/>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9"/>
    <w:qFormat/>
    <w:uiPriority w:val="0"/>
    <w:pPr>
      <w:keepNext/>
      <w:keepLines/>
      <w:spacing w:before="260" w:after="260" w:line="416" w:lineRule="auto"/>
      <w:outlineLvl w:val="1"/>
    </w:pPr>
    <w:rPr>
      <w:rFonts w:ascii="Cambria" w:hAnsi="Cambria" w:eastAsia="宋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autoSpaceDE w:val="0"/>
      <w:autoSpaceDN w:val="0"/>
      <w:adjustRightInd w:val="0"/>
      <w:jc w:val="left"/>
      <w:textAlignment w:val="baseline"/>
    </w:pPr>
    <w:rPr>
      <w:rFonts w:ascii="宋体" w:hAnsi="Times New Roman" w:eastAsia="宋体" w:cs="Times New Roman"/>
      <w:bCs/>
      <w:spacing w:val="20"/>
      <w:kern w:val="0"/>
      <w:sz w:val="34"/>
      <w:szCs w:val="30"/>
    </w:rPr>
  </w:style>
  <w:style w:type="paragraph" w:styleId="4">
    <w:name w:val="Body Text Indent"/>
    <w:basedOn w:val="1"/>
    <w:link w:val="25"/>
    <w:unhideWhenUsed/>
    <w:qFormat/>
    <w:uiPriority w:val="99"/>
    <w:pPr>
      <w:spacing w:after="120"/>
      <w:ind w:left="420" w:leftChars="200"/>
    </w:pPr>
  </w:style>
  <w:style w:type="paragraph" w:styleId="5">
    <w:name w:val="Balloon Text"/>
    <w:basedOn w:val="1"/>
    <w:link w:val="23"/>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6"/>
    <w:qFormat/>
    <w:uiPriority w:val="0"/>
    <w:pPr>
      <w:widowControl/>
      <w:adjustRightInd w:val="0"/>
      <w:snapToGrid w:val="0"/>
      <w:spacing w:before="240" w:after="60" w:line="312" w:lineRule="auto"/>
      <w:jc w:val="center"/>
      <w:outlineLvl w:val="1"/>
    </w:pPr>
    <w:rPr>
      <w:rFonts w:ascii="Cambria" w:hAnsi="Cambria" w:eastAsia="宋体" w:cs="Times New Roman"/>
      <w:b/>
      <w:bCs/>
      <w:kern w:val="28"/>
      <w:sz w:val="32"/>
      <w:szCs w:val="32"/>
    </w:rPr>
  </w:style>
  <w:style w:type="paragraph" w:styleId="9">
    <w:name w:val="Body Text Indent 3"/>
    <w:basedOn w:val="1"/>
    <w:link w:val="19"/>
    <w:qFormat/>
    <w:uiPriority w:val="0"/>
    <w:pPr>
      <w:widowControl/>
      <w:spacing w:after="120"/>
      <w:ind w:left="420"/>
      <w:jc w:val="left"/>
    </w:pPr>
    <w:rPr>
      <w:rFonts w:ascii="Times New Roman" w:hAnsi="Times New Roman" w:eastAsia="宋体" w:cs="Times New Roman"/>
      <w:sz w:val="16"/>
      <w:szCs w:val="16"/>
    </w:rPr>
  </w:style>
  <w:style w:type="paragraph" w:styleId="10">
    <w:name w:val="Body Text 2"/>
    <w:basedOn w:val="1"/>
    <w:link w:val="31"/>
    <w:unhideWhenUsed/>
    <w:qFormat/>
    <w:uiPriority w:val="99"/>
    <w:pPr>
      <w:spacing w:after="120" w:line="480" w:lineRule="auto"/>
    </w:p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unhideWhenUsed/>
    <w:qFormat/>
    <w:uiPriority w:val="0"/>
    <w:rPr>
      <w:sz w:val="21"/>
      <w:szCs w:val="21"/>
    </w:rPr>
  </w:style>
  <w:style w:type="character" w:customStyle="1" w:styleId="16">
    <w:name w:val="页眉 Char"/>
    <w:basedOn w:val="14"/>
    <w:link w:val="7"/>
    <w:qFormat/>
    <w:uiPriority w:val="99"/>
    <w:rPr>
      <w:sz w:val="18"/>
      <w:szCs w:val="18"/>
    </w:rPr>
  </w:style>
  <w:style w:type="character" w:customStyle="1" w:styleId="17">
    <w:name w:val="页脚 Char"/>
    <w:basedOn w:val="14"/>
    <w:link w:val="6"/>
    <w:qFormat/>
    <w:uiPriority w:val="99"/>
    <w:rPr>
      <w:sz w:val="18"/>
      <w:szCs w:val="18"/>
    </w:rPr>
  </w:style>
  <w:style w:type="paragraph" w:styleId="18">
    <w:name w:val="List Paragraph"/>
    <w:basedOn w:val="1"/>
    <w:link w:val="30"/>
    <w:qFormat/>
    <w:uiPriority w:val="0"/>
    <w:pPr>
      <w:ind w:firstLine="420" w:firstLineChars="200"/>
    </w:pPr>
  </w:style>
  <w:style w:type="character" w:customStyle="1" w:styleId="19">
    <w:name w:val="正文文本缩进 3 Char"/>
    <w:link w:val="9"/>
    <w:qFormat/>
    <w:uiPriority w:val="0"/>
    <w:rPr>
      <w:rFonts w:ascii="Times New Roman" w:hAnsi="Times New Roman" w:eastAsia="宋体" w:cs="Times New Roman"/>
      <w:sz w:val="16"/>
      <w:szCs w:val="16"/>
    </w:rPr>
  </w:style>
  <w:style w:type="character" w:customStyle="1" w:styleId="20">
    <w:name w:val="正文文本缩进 3 Char1"/>
    <w:basedOn w:val="14"/>
    <w:semiHidden/>
    <w:qFormat/>
    <w:uiPriority w:val="99"/>
    <w:rPr>
      <w:sz w:val="16"/>
      <w:szCs w:val="16"/>
    </w:rPr>
  </w:style>
  <w:style w:type="paragraph" w:customStyle="1" w:styleId="21">
    <w:name w:val="制度有条款"/>
    <w:basedOn w:val="18"/>
    <w:qFormat/>
    <w:uiPriority w:val="0"/>
    <w:pPr>
      <w:autoSpaceDE w:val="0"/>
      <w:autoSpaceDN w:val="0"/>
      <w:adjustRightInd w:val="0"/>
      <w:spacing w:line="360" w:lineRule="auto"/>
      <w:ind w:left="990" w:firstLine="0" w:firstLineChars="0"/>
      <w:jc w:val="left"/>
      <w:textAlignment w:val="baseline"/>
    </w:pPr>
    <w:rPr>
      <w:rFonts w:ascii="仿宋_GB2312" w:hAnsi="Calibri" w:eastAsia="仿宋_GB2312" w:cs="Times New Roman"/>
      <w:bCs/>
      <w:spacing w:val="20"/>
      <w:kern w:val="0"/>
      <w:sz w:val="24"/>
      <w:szCs w:val="24"/>
    </w:rPr>
  </w:style>
  <w:style w:type="character" w:customStyle="1" w:styleId="22">
    <w:name w:val="批注文字 Char"/>
    <w:basedOn w:val="14"/>
    <w:link w:val="3"/>
    <w:qFormat/>
    <w:uiPriority w:val="99"/>
    <w:rPr>
      <w:rFonts w:ascii="宋体" w:hAnsi="Times New Roman" w:eastAsia="宋体" w:cs="Times New Roman"/>
      <w:bCs/>
      <w:spacing w:val="20"/>
      <w:kern w:val="0"/>
      <w:sz w:val="34"/>
      <w:szCs w:val="30"/>
    </w:rPr>
  </w:style>
  <w:style w:type="character" w:customStyle="1" w:styleId="23">
    <w:name w:val="批注框文本 Char"/>
    <w:basedOn w:val="14"/>
    <w:link w:val="5"/>
    <w:semiHidden/>
    <w:qFormat/>
    <w:uiPriority w:val="99"/>
    <w:rPr>
      <w:sz w:val="18"/>
      <w:szCs w:val="18"/>
    </w:rPr>
  </w:style>
  <w:style w:type="paragraph" w:customStyle="1" w:styleId="24">
    <w:name w:val="制度无条款"/>
    <w:basedOn w:val="11"/>
    <w:qFormat/>
    <w:uiPriority w:val="0"/>
    <w:pPr>
      <w:widowControl/>
      <w:spacing w:line="360" w:lineRule="auto"/>
      <w:ind w:firstLine="480" w:firstLineChars="200"/>
      <w:jc w:val="left"/>
    </w:pPr>
    <w:rPr>
      <w:rFonts w:ascii="仿宋_GB2312" w:eastAsia="仿宋_GB2312"/>
      <w:color w:val="000000"/>
    </w:rPr>
  </w:style>
  <w:style w:type="character" w:customStyle="1" w:styleId="25">
    <w:name w:val="正文文本缩进 Char"/>
    <w:basedOn w:val="14"/>
    <w:link w:val="4"/>
    <w:qFormat/>
    <w:uiPriority w:val="99"/>
  </w:style>
  <w:style w:type="character" w:customStyle="1" w:styleId="26">
    <w:name w:val="副标题 Char"/>
    <w:link w:val="8"/>
    <w:qFormat/>
    <w:uiPriority w:val="0"/>
    <w:rPr>
      <w:rFonts w:ascii="Cambria" w:hAnsi="Cambria" w:eastAsia="宋体" w:cs="Times New Roman"/>
      <w:b/>
      <w:bCs/>
      <w:kern w:val="28"/>
      <w:sz w:val="32"/>
      <w:szCs w:val="32"/>
    </w:rPr>
  </w:style>
  <w:style w:type="character" w:customStyle="1" w:styleId="27">
    <w:name w:val="副标题 Char1"/>
    <w:basedOn w:val="14"/>
    <w:qFormat/>
    <w:uiPriority w:val="11"/>
    <w:rPr>
      <w:rFonts w:eastAsia="宋体" w:asciiTheme="majorHAnsi" w:hAnsiTheme="majorHAnsi" w:cstheme="majorBidi"/>
      <w:b/>
      <w:bCs/>
      <w:kern w:val="28"/>
      <w:sz w:val="32"/>
      <w:szCs w:val="32"/>
    </w:rPr>
  </w:style>
  <w:style w:type="character" w:customStyle="1" w:styleId="28">
    <w:name w:val="标题 2 Char"/>
    <w:basedOn w:val="14"/>
    <w:semiHidden/>
    <w:qFormat/>
    <w:uiPriority w:val="9"/>
    <w:rPr>
      <w:rFonts w:asciiTheme="majorHAnsi" w:hAnsiTheme="majorHAnsi" w:eastAsiaTheme="majorEastAsia" w:cstheme="majorBidi"/>
      <w:b/>
      <w:bCs/>
      <w:sz w:val="32"/>
      <w:szCs w:val="32"/>
    </w:rPr>
  </w:style>
  <w:style w:type="character" w:customStyle="1" w:styleId="29">
    <w:name w:val="标题 2 Char1"/>
    <w:link w:val="2"/>
    <w:qFormat/>
    <w:uiPriority w:val="0"/>
    <w:rPr>
      <w:rFonts w:ascii="Cambria" w:hAnsi="Cambria" w:eastAsia="宋体" w:cs="Times New Roman"/>
      <w:b/>
      <w:bCs/>
      <w:kern w:val="0"/>
      <w:sz w:val="32"/>
      <w:szCs w:val="32"/>
    </w:rPr>
  </w:style>
  <w:style w:type="character" w:customStyle="1" w:styleId="30">
    <w:name w:val="列出段落 Char"/>
    <w:link w:val="18"/>
    <w:qFormat/>
    <w:uiPriority w:val="0"/>
  </w:style>
  <w:style w:type="character" w:customStyle="1" w:styleId="31">
    <w:name w:val="正文文本 2 Char"/>
    <w:basedOn w:val="14"/>
    <w:link w:val="10"/>
    <w:qFormat/>
    <w:uiPriority w:val="99"/>
  </w:style>
  <w:style w:type="paragraph" w:customStyle="1" w:styleId="32">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E82E-13CF-46E0-8709-6A18CB97B8B2}">
  <ds:schemaRefs/>
</ds:datastoreItem>
</file>

<file path=docProps/app.xml><?xml version="1.0" encoding="utf-8"?>
<Properties xmlns="http://schemas.openxmlformats.org/officeDocument/2006/extended-properties" xmlns:vt="http://schemas.openxmlformats.org/officeDocument/2006/docPropsVTypes">
  <Template>Normal</Template>
  <Pages>6</Pages>
  <Words>4469</Words>
  <Characters>4475</Characters>
  <Lines>1</Lines>
  <Paragraphs>1</Paragraphs>
  <TotalTime>171</TotalTime>
  <ScaleCrop>false</ScaleCrop>
  <LinksUpToDate>false</LinksUpToDate>
  <CharactersWithSpaces>4506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2018-08-21T01:52:00Z</dcterms:created>
  <dc:creator>徐星石</dc:creator>
  <cp:lastModifiedBy>史龙虎</cp:lastModifiedBy>
  <dcterms:modified xsi:type="dcterms:W3CDTF">2024-12-12T05:37:07Z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D141B8AAB26F4A71B07BD11F06B203D7</vt:lpwstr>
  </property>
</Properties>
</file>